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758BC1D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电力工程施工阶段造价管理的进阶法则</w:t>
      </w:r>
    </w:p>
    <w:p w14:paraId="2A93058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Times New Roman" w:eastAsia="宋体" w:hAnsi="Times New Roman" w:cs="Times New Roman" w:hint="default"/>
          <w:b w:val="0"/>
          <w:bCs w:val="0"/>
          <w:sz w:val="21"/>
          <w:szCs w:val="21"/>
          <w:lang w:val="en-US" w:eastAsia="zh-CN"/>
        </w:rPr>
      </w:pPr>
    </w:p>
    <w:p w14:paraId="188575D0">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ascii="Times New Roman" w:eastAsia="宋体" w:hAnsi="Times New Roman" w:cs="Times New Roman" w:hint="default"/>
          <w:b w:val="0"/>
          <w:bCs w:val="0"/>
          <w:sz w:val="21"/>
          <w:szCs w:val="21"/>
        </w:rPr>
      </w:pPr>
      <w:bookmarkStart w:id="0" w:name="heading_0"/>
      <w:r>
        <w:rPr>
          <w:rFonts w:ascii="Times New Roman" w:eastAsia="宋体" w:hAnsi="Times New Roman" w:cs="Times New Roman" w:hint="default"/>
          <w:b w:val="0"/>
          <w:bCs w:val="0"/>
          <w:sz w:val="21"/>
          <w:szCs w:val="21"/>
        </w:rPr>
        <w:t>摘要</w:t>
      </w:r>
      <w:bookmarkEnd w:id="0"/>
      <w:r>
        <w:rPr>
          <w:rFonts w:ascii="Times New Roman" w:eastAsia="宋体" w:hAnsi="Times New Roman" w:cs="Times New Roman" w:hint="default"/>
          <w:b w:val="0"/>
          <w:bCs w:val="0"/>
          <w:sz w:val="21"/>
          <w:szCs w:val="21"/>
          <w:lang w:eastAsia="zh-CN"/>
        </w:rPr>
        <w:t>：</w:t>
      </w:r>
      <w:r>
        <w:rPr>
          <w:rFonts w:ascii="Times New Roman" w:eastAsia="宋体" w:hAnsi="Times New Roman" w:cs="Times New Roman" w:hint="default"/>
          <w:b w:val="0"/>
          <w:bCs w:val="0"/>
          <w:sz w:val="21"/>
          <w:szCs w:val="21"/>
        </w:rPr>
        <w:t>新型电力系统建设推进大背景之下，电网升级、新能源配套、输变电改造等电力基建项目投资规模越来越大，工程建设标准化、精细化的要求也越来越高。本文以电力工程施工阶段造价控制体系为研究对象</w:t>
      </w:r>
      <w:r>
        <w:rPr>
          <w:rFonts w:ascii="Times New Roman" w:eastAsia="宋体" w:hAnsi="Times New Roman" w:cs="Times New Roman" w:hint="eastAsia"/>
          <w:b w:val="0"/>
          <w:bCs w:val="0"/>
          <w:sz w:val="21"/>
          <w:szCs w:val="21"/>
          <w:lang w:eastAsia="zh-CN"/>
        </w:rPr>
        <w:t>，从</w:t>
      </w:r>
      <w:r>
        <w:rPr>
          <w:rFonts w:ascii="Times New Roman" w:eastAsia="宋体" w:hAnsi="Times New Roman" w:cs="Times New Roman" w:hint="default"/>
          <w:b w:val="0"/>
          <w:bCs w:val="0"/>
          <w:sz w:val="21"/>
          <w:szCs w:val="21"/>
        </w:rPr>
        <w:t>管理逻辑、管控框架、实施路径三个方面构建起系统的进阶体系，采用动态成本偏差分析的方法以及全要素资源调节的机制来改善电力工程施工成本控制的流程，减小预算和实际造价之间的差距，提高电力基建项目投资收益率和资源调配效率，给电力工程造价精细化、数字化管控给予理论参照和实际参照。</w:t>
      </w:r>
      <w:bookmarkStart w:id="1" w:name="heading_1"/>
    </w:p>
    <w:p w14:paraId="2967B08F">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关键词</w:t>
      </w:r>
      <w:bookmarkEnd w:id="1"/>
      <w:r>
        <w:rPr>
          <w:rFonts w:ascii="Times New Roman" w:eastAsia="宋体" w:hAnsi="Times New Roman" w:cs="Times New Roman" w:hint="default"/>
          <w:b w:val="0"/>
          <w:bCs w:val="0"/>
          <w:sz w:val="21"/>
          <w:szCs w:val="21"/>
          <w:lang w:eastAsia="zh-CN"/>
        </w:rPr>
        <w:t>：</w:t>
      </w:r>
      <w:r>
        <w:rPr>
          <w:rFonts w:ascii="Times New Roman" w:eastAsia="宋体" w:hAnsi="Times New Roman" w:cs="Times New Roman" w:hint="default"/>
          <w:b w:val="0"/>
          <w:bCs w:val="0"/>
          <w:sz w:val="21"/>
          <w:szCs w:val="21"/>
        </w:rPr>
        <w:t>电力工程；施工阶段；造价管理；动态管控；成本偏差</w:t>
      </w:r>
    </w:p>
    <w:p w14:paraId="5CBA454F">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ascii="Times New Roman" w:eastAsia="宋体" w:hAnsi="Times New Roman" w:cs="Times New Roman" w:hint="default"/>
          <w:b w:val="0"/>
          <w:bCs w:val="0"/>
          <w:sz w:val="21"/>
          <w:szCs w:val="21"/>
        </w:rPr>
      </w:pPr>
      <w:bookmarkStart w:id="2" w:name="heading_2"/>
    </w:p>
    <w:p w14:paraId="0127ABB9">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施工</w:t>
      </w:r>
      <w:bookmarkEnd w:id="2"/>
      <w:r>
        <w:rPr>
          <w:rFonts w:ascii="Times New Roman" w:eastAsia="宋体" w:hAnsi="Times New Roman" w:cs="Times New Roman" w:hint="default"/>
          <w:b w:val="0"/>
          <w:bCs w:val="0"/>
          <w:sz w:val="21"/>
          <w:szCs w:val="21"/>
          <w:lang w:eastAsia="zh-CN"/>
        </w:rPr>
        <w:t>阶段</w:t>
      </w:r>
      <w:r>
        <w:rPr>
          <w:rFonts w:ascii="Times New Roman" w:eastAsia="宋体" w:hAnsi="Times New Roman" w:cs="Times New Roman" w:hint="default"/>
          <w:b w:val="0"/>
          <w:bCs w:val="0"/>
          <w:sz w:val="21"/>
          <w:szCs w:val="21"/>
        </w:rPr>
        <w:t>是造价控制的主体环节，包含资源调配、工序施工、变更签证、结算核算等重要场景，造价控制的好坏直接影响项目的投资效益。目前我国电力工程施工造价管理大多集中于静态核算和事后审核，存在过程管控覆盖不全、要素调控精度不高、数字化融合程度低等状况，容易造成成本超支、资源浪费、结算争议等问题。因此，本文从施工阶段全流程管控的角度出发，对造价管理逻辑演进的规律进行梳理，建立多维进阶管控框架，并提出可以落地的实施路径，对完善电力工程造价管控体系、提高基建项目经济管控水平有重要的实践意义和理论意义。</w:t>
      </w:r>
    </w:p>
    <w:p w14:paraId="608C3605">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0"/>
        <w:rPr>
          <w:rFonts w:ascii="Times New Roman" w:eastAsia="宋体" w:hAnsi="Times New Roman" w:cs="Times New Roman" w:hint="default"/>
          <w:b/>
          <w:bCs/>
          <w:sz w:val="21"/>
          <w:szCs w:val="21"/>
        </w:rPr>
      </w:pPr>
      <w:bookmarkStart w:id="3" w:name="heading_3"/>
      <w:r>
        <w:rPr>
          <w:rFonts w:ascii="Times New Roman" w:eastAsia="宋体" w:hAnsi="Times New Roman" w:cs="Times New Roman" w:hint="default"/>
          <w:b/>
          <w:bCs/>
          <w:sz w:val="21"/>
          <w:szCs w:val="21"/>
        </w:rPr>
        <w:t>1电力工程施工阶段加强造价管理的逻辑演进</w:t>
      </w:r>
      <w:bookmarkEnd w:id="3"/>
    </w:p>
    <w:p w14:paraId="092CEF90">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ascii="Times New Roman" w:eastAsia="宋体" w:hAnsi="Times New Roman" w:cs="Times New Roman" w:hint="default"/>
          <w:b/>
          <w:bCs/>
          <w:sz w:val="21"/>
          <w:szCs w:val="21"/>
        </w:rPr>
      </w:pPr>
      <w:bookmarkStart w:id="4" w:name="heading_4"/>
      <w:r>
        <w:rPr>
          <w:rFonts w:ascii="Times New Roman" w:eastAsia="宋体" w:hAnsi="Times New Roman" w:cs="Times New Roman" w:hint="default"/>
          <w:b/>
          <w:bCs/>
          <w:sz w:val="21"/>
          <w:szCs w:val="21"/>
        </w:rPr>
        <w:t>1.1从静态事后核算到动态过程调控</w:t>
      </w:r>
      <w:bookmarkEnd w:id="4"/>
    </w:p>
    <w:p w14:paraId="1B4F5BC0">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传统的电力工程造价管理是以竣工结算、事后成本核算为主要方式，管控节点集中在项目收尾阶段，只能完成造价数据的复盘统计，不能对施工过程中成本波动进行预测和干预</w:t>
      </w:r>
      <w:r>
        <w:rPr>
          <w:rFonts w:ascii="Times New Roman" w:eastAsia="宋体" w:hAnsi="Times New Roman" w:cs="Times New Roman" w:hint="eastAsia"/>
          <w:b w:val="0"/>
          <w:bCs w:val="0"/>
          <w:sz w:val="21"/>
          <w:szCs w:val="21"/>
          <w:vertAlign w:val="superscript"/>
          <w:lang w:val="en-US" w:eastAsia="zh-CN"/>
        </w:rPr>
        <w:t>[1]</w:t>
      </w:r>
      <w:r>
        <w:rPr>
          <w:rFonts w:ascii="Times New Roman" w:eastAsia="宋体" w:hAnsi="Times New Roman" w:cs="Times New Roman" w:hint="default"/>
          <w:b w:val="0"/>
          <w:bCs w:val="0"/>
          <w:sz w:val="21"/>
          <w:szCs w:val="21"/>
        </w:rPr>
        <w:t>。该模式下施工阶段的材料损耗、工序冗余、签证疏漏等不能及时发现，小的成本偏差会逐渐积累成大的造价超支，控制被动性比较明显。新时代电力工程建设对于投资精准度的要求越来越高，造价管理逻辑也逐渐从全生命周期动态控制转变成全周期动态调节，依靠施工全过程的数据采集和分析，对资源投入、工序进度、成本消耗的匹配情况进行实时追踪，从而达到造价偏差事中识别、及时修正的目的，使造价控制由结果复盘变为过程可控、动态优化。</w:t>
      </w:r>
    </w:p>
    <w:p w14:paraId="03C6B302">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ascii="Times New Roman" w:eastAsia="宋体" w:hAnsi="Times New Roman" w:cs="Times New Roman" w:hint="default"/>
          <w:b/>
          <w:bCs/>
          <w:sz w:val="21"/>
          <w:szCs w:val="21"/>
        </w:rPr>
      </w:pPr>
      <w:bookmarkStart w:id="5" w:name="heading_5"/>
      <w:r>
        <w:rPr>
          <w:rFonts w:ascii="Times New Roman" w:eastAsia="宋体" w:hAnsi="Times New Roman" w:cs="Times New Roman" w:hint="default"/>
          <w:b/>
          <w:bCs/>
          <w:sz w:val="21"/>
          <w:szCs w:val="21"/>
        </w:rPr>
        <w:t>1.2从单一要素管控到全要素协同治理</w:t>
      </w:r>
      <w:bookmarkEnd w:id="5"/>
    </w:p>
    <w:p w14:paraId="73B3EB48">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早期电力施工造价控制主要集中在材料、设备等显性成本上，控制角度单一，忽视了人工、工期、管理、变更等隐性成本对总体造价的影响，要素控制的割裂性造成整体管控效率不高。电力工程施工具有系统性、关联性特点，各种成本要素互相影响、互相制约，单个要素控制很难达到整体造价最优化的效果。目前造价管理逻辑开始冲破单一维度的束缚，创建起人工、材料、机械、工期、合同、变更的全方位协同治理体系，兼顾显性成本和隐性成本的管控，均衡各个要素资源的配置比例，依靠多要素联动调节来化解管控盲区，加强造价管控的全面性与系统性</w:t>
      </w:r>
      <w:r>
        <w:rPr>
          <w:rFonts w:ascii="Times New Roman" w:eastAsia="宋体" w:hAnsi="Times New Roman" w:cs="Times New Roman" w:hint="eastAsia"/>
          <w:b w:val="0"/>
          <w:bCs w:val="0"/>
          <w:sz w:val="21"/>
          <w:szCs w:val="21"/>
          <w:vertAlign w:val="superscript"/>
          <w:lang w:val="en-US" w:eastAsia="zh-CN"/>
        </w:rPr>
        <w:t>[2]</w:t>
      </w:r>
      <w:r>
        <w:rPr>
          <w:rFonts w:ascii="Times New Roman" w:eastAsia="宋体" w:hAnsi="Times New Roman" w:cs="Times New Roman" w:hint="default"/>
          <w:b w:val="0"/>
          <w:bCs w:val="0"/>
          <w:sz w:val="21"/>
          <w:szCs w:val="21"/>
        </w:rPr>
        <w:t>。</w:t>
      </w:r>
    </w:p>
    <w:p w14:paraId="568A5D6D">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ascii="Times New Roman" w:eastAsia="宋体" w:hAnsi="Times New Roman" w:cs="Times New Roman" w:hint="default"/>
          <w:b/>
          <w:bCs/>
          <w:sz w:val="21"/>
          <w:szCs w:val="21"/>
        </w:rPr>
      </w:pPr>
      <w:bookmarkStart w:id="6" w:name="heading_6"/>
      <w:r>
        <w:rPr>
          <w:rFonts w:ascii="Times New Roman" w:eastAsia="宋体" w:hAnsi="Times New Roman" w:cs="Times New Roman" w:hint="default"/>
          <w:b/>
          <w:bCs/>
          <w:sz w:val="21"/>
          <w:szCs w:val="21"/>
        </w:rPr>
        <w:t>1.3从经验化管控到数字化精准赋能</w:t>
      </w:r>
      <w:bookmarkEnd w:id="6"/>
    </w:p>
    <w:p w14:paraId="54D8075F">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以往电力工程施工造价管控主要依靠管理人员从业经验，管控标准不清、判断主观性强，面对复杂的施工环境和多变的市场价格环境，容易造成管控偏差，数据存储、传递、分析效率低，数据孤岛现象严重</w:t>
      </w:r>
      <w:r>
        <w:rPr>
          <w:rFonts w:ascii="Times New Roman" w:eastAsia="宋体" w:hAnsi="Times New Roman" w:cs="Times New Roman" w:hint="eastAsia"/>
          <w:b w:val="0"/>
          <w:bCs w:val="0"/>
          <w:sz w:val="21"/>
          <w:szCs w:val="21"/>
          <w:vertAlign w:val="superscript"/>
          <w:lang w:val="en-US" w:eastAsia="zh-CN"/>
        </w:rPr>
        <w:t>[3]</w:t>
      </w:r>
      <w:r>
        <w:rPr>
          <w:rFonts w:ascii="Times New Roman" w:eastAsia="宋体" w:hAnsi="Times New Roman" w:cs="Times New Roman" w:hint="default"/>
          <w:b w:val="0"/>
          <w:bCs w:val="0"/>
          <w:sz w:val="21"/>
          <w:szCs w:val="21"/>
        </w:rPr>
        <w:t>。伴随着数字基建以及工程信息化技术的发展，造价管理逻辑也逐渐向数字化、精准化转变，依靠BIM技术、大数据分析、动态监测系统等手段，对施工造价数据进行实时采集、智能分析和精准预判，量化各种施工行为的成本影响，用数据支撑管控决策，弱化经验主观干预，促使造价管理由粗放经验模式向标准化、数字化精准模式转变。</w:t>
      </w:r>
    </w:p>
    <w:p w14:paraId="73509554">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0"/>
        <w:rPr>
          <w:rFonts w:ascii="Times New Roman" w:eastAsia="宋体" w:hAnsi="Times New Roman" w:cs="Times New Roman" w:hint="default"/>
          <w:b/>
          <w:bCs/>
          <w:sz w:val="21"/>
          <w:szCs w:val="21"/>
        </w:rPr>
      </w:pPr>
      <w:bookmarkStart w:id="7" w:name="heading_7"/>
      <w:r>
        <w:rPr>
          <w:rFonts w:ascii="Times New Roman" w:eastAsia="宋体" w:hAnsi="Times New Roman" w:cs="Times New Roman" w:hint="default"/>
          <w:b/>
          <w:bCs/>
          <w:sz w:val="21"/>
          <w:szCs w:val="21"/>
        </w:rPr>
        <w:t>2电力工程施工阶段造价管理的进阶框架</w:t>
      </w:r>
      <w:bookmarkEnd w:id="7"/>
    </w:p>
    <w:p w14:paraId="76334D6C">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ascii="Times New Roman" w:eastAsia="宋体" w:hAnsi="Times New Roman" w:cs="Times New Roman" w:hint="default"/>
          <w:b/>
          <w:bCs/>
          <w:sz w:val="21"/>
          <w:szCs w:val="21"/>
        </w:rPr>
      </w:pPr>
      <w:bookmarkStart w:id="8" w:name="heading_8"/>
      <w:r>
        <w:rPr>
          <w:rFonts w:ascii="Times New Roman" w:eastAsia="宋体" w:hAnsi="Times New Roman" w:cs="Times New Roman" w:hint="default"/>
          <w:b/>
          <w:bCs/>
          <w:sz w:val="21"/>
          <w:szCs w:val="21"/>
        </w:rPr>
        <w:t>2.1全流程闭环管控框架</w:t>
      </w:r>
      <w:bookmarkEnd w:id="8"/>
    </w:p>
    <w:p w14:paraId="61564162">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电力工程施工造价进阶管理要创建起涵盖施工准备、施工执行、竣工收尾的全流程闭环管控架构，冲破传统分段管控的碎片化状况。施工准备阶段主要从施工组织设计的优化、工程量准确核算、成本目标的分解入手，根据市场价格行情来确定分级的成本控制指标，在施工过程中要对资源进行动态调配，对变更签证进行规范的控制，并且对成本偏差进行实时的监测，以防止出现过程中的成本浪费；竣工阶段要加强对结算资料的审核，对造价数据进行复盘分析，对管控效果进行评价。各个阶段的管控环节互相衔接、数</w:t>
      </w:r>
      <w:r>
        <w:rPr>
          <w:rFonts w:ascii="Times New Roman" w:eastAsia="宋体" w:hAnsi="Times New Roman" w:cs="Times New Roman" w:hint="eastAsia"/>
          <w:b w:val="0"/>
          <w:bCs w:val="0"/>
          <w:sz w:val="21"/>
          <w:szCs w:val="21"/>
          <w:lang w:eastAsia="zh-CN"/>
        </w:rPr>
        <w:t>据互</w:t>
      </w:r>
      <w:r>
        <w:rPr>
          <w:rFonts w:ascii="Times New Roman" w:eastAsia="宋体" w:hAnsi="Times New Roman" w:cs="Times New Roman" w:hint="default"/>
          <w:b w:val="0"/>
          <w:bCs w:val="0"/>
          <w:sz w:val="21"/>
          <w:szCs w:val="21"/>
        </w:rPr>
        <w:t>通，形成了</w:t>
      </w:r>
      <w:r>
        <w:rPr>
          <w:rFonts w:ascii="Times New Roman" w:eastAsia="宋体" w:hAnsi="Times New Roman" w:cs="Times New Roman" w:hint="eastAsia"/>
          <w:b w:val="0"/>
          <w:bCs w:val="0"/>
          <w:sz w:val="21"/>
          <w:szCs w:val="21"/>
          <w:lang w:eastAsia="zh-CN"/>
        </w:rPr>
        <w:t>目标</w:t>
      </w:r>
      <w:r>
        <w:rPr>
          <w:rFonts w:ascii="Times New Roman" w:eastAsia="宋体" w:hAnsi="Times New Roman" w:cs="Times New Roman" w:hint="default"/>
          <w:b w:val="0"/>
          <w:bCs w:val="0"/>
          <w:sz w:val="21"/>
          <w:szCs w:val="21"/>
        </w:rPr>
        <w:t>设定、过</w:t>
      </w:r>
      <w:r>
        <w:rPr>
          <w:rFonts w:ascii="Times New Roman" w:eastAsia="宋体" w:hAnsi="Times New Roman" w:cs="Times New Roman" w:hint="eastAsia"/>
          <w:b w:val="0"/>
          <w:bCs w:val="0"/>
          <w:sz w:val="21"/>
          <w:szCs w:val="21"/>
          <w:lang w:eastAsia="zh-CN"/>
        </w:rPr>
        <w:t>程</w:t>
      </w:r>
      <w:r>
        <w:rPr>
          <w:rFonts w:ascii="Times New Roman" w:eastAsia="宋体" w:hAnsi="Times New Roman" w:cs="Times New Roman" w:hint="default"/>
          <w:b w:val="0"/>
          <w:bCs w:val="0"/>
          <w:sz w:val="21"/>
          <w:szCs w:val="21"/>
        </w:rPr>
        <w:t>监测、偏</w:t>
      </w:r>
      <w:r>
        <w:rPr>
          <w:rFonts w:ascii="Times New Roman" w:eastAsia="宋体" w:hAnsi="Times New Roman" w:cs="Times New Roman" w:hint="eastAsia"/>
          <w:b w:val="0"/>
          <w:bCs w:val="0"/>
          <w:sz w:val="21"/>
          <w:szCs w:val="21"/>
          <w:lang w:eastAsia="zh-CN"/>
        </w:rPr>
        <w:t>差</w:t>
      </w:r>
      <w:r>
        <w:rPr>
          <w:rFonts w:ascii="Times New Roman" w:eastAsia="宋体" w:hAnsi="Times New Roman" w:cs="Times New Roman" w:hint="default"/>
          <w:b w:val="0"/>
          <w:bCs w:val="0"/>
          <w:sz w:val="21"/>
          <w:szCs w:val="21"/>
        </w:rPr>
        <w:t>修正、复</w:t>
      </w:r>
      <w:r>
        <w:rPr>
          <w:rFonts w:ascii="Times New Roman" w:eastAsia="宋体" w:hAnsi="Times New Roman" w:cs="Times New Roman" w:hint="eastAsia"/>
          <w:b w:val="0"/>
          <w:bCs w:val="0"/>
          <w:sz w:val="21"/>
          <w:szCs w:val="21"/>
          <w:lang w:eastAsia="zh-CN"/>
        </w:rPr>
        <w:t>盘</w:t>
      </w:r>
      <w:r>
        <w:rPr>
          <w:rFonts w:ascii="Times New Roman" w:eastAsia="宋体" w:hAnsi="Times New Roman" w:cs="Times New Roman" w:hint="default"/>
          <w:b w:val="0"/>
          <w:bCs w:val="0"/>
          <w:sz w:val="21"/>
          <w:szCs w:val="21"/>
        </w:rPr>
        <w:t>优化的闭环机制，使施工全过程造价可以控制、可调整，提高管控体系的完整性、连贯性。</w:t>
      </w:r>
    </w:p>
    <w:p w14:paraId="331C56DB">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ascii="Times New Roman" w:eastAsia="宋体" w:hAnsi="Times New Roman" w:cs="Times New Roman" w:hint="default"/>
          <w:b/>
          <w:bCs/>
          <w:sz w:val="21"/>
          <w:szCs w:val="21"/>
        </w:rPr>
      </w:pPr>
      <w:bookmarkStart w:id="9" w:name="heading_9"/>
      <w:r>
        <w:rPr>
          <w:rFonts w:ascii="Times New Roman" w:eastAsia="宋体" w:hAnsi="Times New Roman" w:cs="Times New Roman" w:hint="default"/>
          <w:b/>
          <w:bCs/>
          <w:sz w:val="21"/>
          <w:szCs w:val="21"/>
        </w:rPr>
        <w:t>2.2全要素成本量化框架</w:t>
      </w:r>
      <w:bookmarkEnd w:id="9"/>
    </w:p>
    <w:p w14:paraId="42C9F212">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根据电力工程施工成本构成特点，创建全要素成本量化管控架构，确定各个成本的核算准则和控制界限。把施工成本分成固定成本和变动成本两类，固定成本包含设备折旧，场地租赁，基础管理费等，依靠标准化流程来削减冗余开支，变动成本涉及材料采购，人工薪酬，机械利用，变更新增费用等，依照施工进度和市场价格变动实施动态量化调节。对各个成本要素的核算口径进行细化，确定工程量计量规则、价格取费标准、损耗核定范围，使每一个成本支出都有量可测、有迹可循、可控制，解决传统管控中成本量化不清、核算口径不一的问题</w:t>
      </w:r>
      <w:r>
        <w:rPr>
          <w:rFonts w:ascii="Times New Roman" w:eastAsia="宋体" w:hAnsi="Times New Roman" w:cs="Times New Roman" w:hint="eastAsia"/>
          <w:b w:val="0"/>
          <w:bCs w:val="0"/>
          <w:sz w:val="21"/>
          <w:szCs w:val="21"/>
          <w:vertAlign w:val="superscript"/>
          <w:lang w:val="en-US" w:eastAsia="zh-CN"/>
        </w:rPr>
        <w:t>[4]</w:t>
      </w:r>
      <w:r>
        <w:rPr>
          <w:rFonts w:ascii="Times New Roman" w:eastAsia="宋体" w:hAnsi="Times New Roman" w:cs="Times New Roman" w:hint="default"/>
          <w:b w:val="0"/>
          <w:bCs w:val="0"/>
          <w:sz w:val="21"/>
          <w:szCs w:val="21"/>
        </w:rPr>
        <w:t>。</w:t>
      </w:r>
    </w:p>
    <w:p w14:paraId="00423FEF">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ascii="Times New Roman" w:eastAsia="宋体" w:hAnsi="Times New Roman" w:cs="Times New Roman" w:hint="default"/>
          <w:b/>
          <w:bCs/>
          <w:sz w:val="21"/>
          <w:szCs w:val="21"/>
        </w:rPr>
      </w:pPr>
      <w:bookmarkStart w:id="10" w:name="heading_10"/>
      <w:r>
        <w:rPr>
          <w:rFonts w:ascii="Times New Roman" w:eastAsia="宋体" w:hAnsi="Times New Roman" w:cs="Times New Roman" w:hint="default"/>
          <w:b/>
          <w:bCs/>
          <w:sz w:val="21"/>
          <w:szCs w:val="21"/>
        </w:rPr>
        <w:t>2.3数字化智能分析框架</w:t>
      </w:r>
      <w:bookmarkEnd w:id="10"/>
    </w:p>
    <w:p w14:paraId="5E8184FD">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数字化智能分析框架以BIM5D造价模型为依托，把施工进度、资源数据、价格数据、工艺数据融合起来创建起动态造价数据库，从而达成施工模型同造价数据的即时更新。采用大数据分析模块对目标成本和实际成本进行自动比对，找出成本波动的主要原因，针对材料涨价、工序延误、资源浪费等问题给出不同的管控方案。设置多级造价预警指标，当成本偏差、工期偏差超过合理的范围的时候就会自动发出预警，帮助管理人员及时处理，提高造价控制的智能化、精准化水平。</w:t>
      </w:r>
    </w:p>
    <w:p w14:paraId="1D929CC4">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ascii="Times New Roman" w:eastAsia="宋体" w:hAnsi="Times New Roman" w:cs="Times New Roman" w:hint="default"/>
          <w:b/>
          <w:bCs/>
          <w:sz w:val="21"/>
          <w:szCs w:val="21"/>
        </w:rPr>
      </w:pPr>
      <w:bookmarkStart w:id="11" w:name="heading_11"/>
      <w:r>
        <w:rPr>
          <w:rFonts w:ascii="Times New Roman" w:eastAsia="宋体" w:hAnsi="Times New Roman" w:cs="Times New Roman" w:hint="default"/>
          <w:b/>
          <w:bCs/>
          <w:sz w:val="21"/>
          <w:szCs w:val="21"/>
        </w:rPr>
        <w:t>2.4多主体协同共治框架</w:t>
      </w:r>
      <w:bookmarkEnd w:id="11"/>
    </w:p>
    <w:p w14:paraId="078DC572">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电力工程的施工牵涉到建设单位、施工单位、监理单位、造价咨询单位等许多主体，各个主体的履职衔接不到位容易造成造价控制的漏洞。进阶造价管理要创建起多主体协同共治的框架，明晰各个主体的造价管控职责和履职界限，创建起常态化的沟通联动机制。建设单位控制整个造价目标，施工单位负责现场资源控制和成本落实，监理单位监督施工工序及工程量的真实性，造价咨询单位提供专业的核算、偏差分析服务。以统一的管控标准、共享的造价数据、联动的审核流程来消除多主体管控脱节、权责不清、审核滞后等状况，塑造起多方联动、协同发力的造价管控局面。</w:t>
      </w:r>
    </w:p>
    <w:p w14:paraId="51AE8583">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0"/>
        <w:rPr>
          <w:rFonts w:ascii="Times New Roman" w:eastAsia="宋体" w:hAnsi="Times New Roman" w:cs="Times New Roman" w:hint="default"/>
          <w:b/>
          <w:bCs/>
          <w:sz w:val="21"/>
          <w:szCs w:val="21"/>
        </w:rPr>
      </w:pPr>
      <w:bookmarkStart w:id="12" w:name="heading_12"/>
      <w:r>
        <w:rPr>
          <w:rFonts w:ascii="Times New Roman" w:eastAsia="宋体" w:hAnsi="Times New Roman" w:cs="Times New Roman" w:hint="default"/>
          <w:b/>
          <w:bCs/>
          <w:sz w:val="21"/>
          <w:szCs w:val="21"/>
        </w:rPr>
        <w:t>3电力工程施工阶段造价管理的进阶路径</w:t>
      </w:r>
      <w:bookmarkEnd w:id="12"/>
    </w:p>
    <w:p w14:paraId="4A85B1CA">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ascii="Times New Roman" w:eastAsia="宋体" w:hAnsi="Times New Roman" w:cs="Times New Roman" w:hint="default"/>
          <w:b/>
          <w:bCs/>
          <w:sz w:val="21"/>
          <w:szCs w:val="21"/>
        </w:rPr>
      </w:pPr>
      <w:bookmarkStart w:id="13" w:name="heading_13"/>
      <w:r>
        <w:rPr>
          <w:rFonts w:ascii="Times New Roman" w:eastAsia="宋体" w:hAnsi="Times New Roman" w:cs="Times New Roman" w:hint="default"/>
          <w:b/>
          <w:bCs/>
          <w:sz w:val="21"/>
          <w:szCs w:val="21"/>
        </w:rPr>
        <w:t>3.1细化目标成本分解，落实分级管控机制</w:t>
      </w:r>
      <w:bookmarkEnd w:id="13"/>
    </w:p>
    <w:p w14:paraId="0DF96FA9">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ascii="Times New Roman" w:eastAsia="宋体" w:hAnsi="Times New Roman" w:cs="Times New Roman" w:hint="default"/>
          <w:b w:val="0"/>
          <w:bCs w:val="0"/>
          <w:sz w:val="21"/>
          <w:szCs w:val="21"/>
          <w:lang w:val="en-US" w:eastAsia="zh-CN"/>
        </w:rPr>
      </w:pPr>
      <w:r>
        <w:rPr>
          <w:rFonts w:ascii="Times New Roman" w:eastAsia="宋体" w:hAnsi="Times New Roman" w:cs="Times New Roman" w:hint="default"/>
          <w:b w:val="0"/>
          <w:bCs w:val="0"/>
          <w:sz w:val="21"/>
          <w:szCs w:val="21"/>
        </w:rPr>
        <w:t>目标成本管理是施工阶段造价控制的基础核心，要根据电力工程施工图纸、清单计价规范、市场价格指数和施工组织方案来准确确定项目施工目标总成本，并且进行分层、模块化的分解。按照“整</w:t>
      </w:r>
      <w:r>
        <w:rPr>
          <w:rFonts w:ascii="Times New Roman" w:eastAsia="宋体" w:hAnsi="Times New Roman" w:cs="Times New Roman" w:hint="eastAsia"/>
          <w:b w:val="0"/>
          <w:bCs w:val="0"/>
          <w:sz w:val="21"/>
          <w:szCs w:val="21"/>
          <w:lang w:eastAsia="zh-CN"/>
        </w:rPr>
        <w:t>体项</w:t>
      </w:r>
      <w:r>
        <w:rPr>
          <w:rFonts w:ascii="Times New Roman" w:eastAsia="宋体" w:hAnsi="Times New Roman" w:cs="Times New Roman" w:hint="default"/>
          <w:b w:val="0"/>
          <w:bCs w:val="0"/>
          <w:sz w:val="21"/>
          <w:szCs w:val="21"/>
        </w:rPr>
        <w:t>目、分部</w:t>
      </w:r>
      <w:r>
        <w:rPr>
          <w:rFonts w:ascii="Times New Roman" w:eastAsia="宋体" w:hAnsi="Times New Roman" w:cs="Times New Roman" w:hint="eastAsia"/>
          <w:b w:val="0"/>
          <w:bCs w:val="0"/>
          <w:sz w:val="21"/>
          <w:szCs w:val="21"/>
          <w:lang w:eastAsia="zh-CN"/>
        </w:rPr>
        <w:t>工</w:t>
      </w:r>
      <w:r>
        <w:rPr>
          <w:rFonts w:ascii="Times New Roman" w:eastAsia="宋体" w:hAnsi="Times New Roman" w:cs="Times New Roman" w:hint="default"/>
          <w:b w:val="0"/>
          <w:bCs w:val="0"/>
          <w:sz w:val="21"/>
          <w:szCs w:val="21"/>
        </w:rPr>
        <w:t>程、分项</w:t>
      </w:r>
      <w:r>
        <w:rPr>
          <w:rFonts w:ascii="Times New Roman" w:eastAsia="宋体" w:hAnsi="Times New Roman" w:cs="Times New Roman" w:hint="eastAsia"/>
          <w:b w:val="0"/>
          <w:bCs w:val="0"/>
          <w:sz w:val="21"/>
          <w:szCs w:val="21"/>
          <w:lang w:eastAsia="zh-CN"/>
        </w:rPr>
        <w:t>工</w:t>
      </w:r>
      <w:r>
        <w:rPr>
          <w:rFonts w:ascii="Times New Roman" w:eastAsia="宋体" w:hAnsi="Times New Roman" w:cs="Times New Roman" w:hint="default"/>
          <w:b w:val="0"/>
          <w:bCs w:val="0"/>
          <w:sz w:val="21"/>
          <w:szCs w:val="21"/>
        </w:rPr>
        <w:t>程、施工</w:t>
      </w:r>
      <w:r>
        <w:rPr>
          <w:rFonts w:ascii="Times New Roman" w:eastAsia="宋体" w:hAnsi="Times New Roman" w:cs="Times New Roman" w:hint="eastAsia"/>
          <w:b w:val="0"/>
          <w:bCs w:val="0"/>
          <w:sz w:val="21"/>
          <w:szCs w:val="21"/>
          <w:lang w:eastAsia="zh-CN"/>
        </w:rPr>
        <w:t>工</w:t>
      </w:r>
      <w:r>
        <w:rPr>
          <w:rFonts w:ascii="Times New Roman" w:eastAsia="宋体" w:hAnsi="Times New Roman" w:cs="Times New Roman" w:hint="default"/>
          <w:b w:val="0"/>
          <w:bCs w:val="0"/>
          <w:sz w:val="21"/>
          <w:szCs w:val="21"/>
        </w:rPr>
        <w:t>序”逐层</w:t>
      </w:r>
      <w:r>
        <w:rPr>
          <w:rFonts w:ascii="Times New Roman" w:eastAsia="宋体" w:hAnsi="Times New Roman" w:cs="Times New Roman" w:hint="eastAsia"/>
          <w:b w:val="0"/>
          <w:bCs w:val="0"/>
          <w:sz w:val="21"/>
          <w:szCs w:val="21"/>
          <w:lang w:eastAsia="zh-CN"/>
        </w:rPr>
        <w:t>分</w:t>
      </w:r>
      <w:r>
        <w:rPr>
          <w:rFonts w:ascii="Times New Roman" w:eastAsia="宋体" w:hAnsi="Times New Roman" w:cs="Times New Roman" w:hint="default"/>
          <w:b w:val="0"/>
          <w:bCs w:val="0"/>
          <w:sz w:val="21"/>
          <w:szCs w:val="21"/>
        </w:rPr>
        <w:t>解总造价管控目标为具体的管控指标，对各个施工班组、各个施工阶段的成本控制范围和标准进行明确的规定，从而达到精细化控制的目的。为了准确衡量造价控制效果，用成本偏差率作为主要的评价指标，</w:t>
      </w:r>
      <w:r>
        <w:rPr>
          <w:rFonts w:ascii="Times New Roman" w:eastAsia="宋体" w:hAnsi="Times New Roman" w:cs="Times New Roman" w:hint="default"/>
          <w:b w:val="0"/>
          <w:bCs w:val="0"/>
          <w:sz w:val="21"/>
          <w:szCs w:val="21"/>
          <w:lang w:val="en-US" w:eastAsia="zh-CN"/>
        </w:rPr>
        <w:t>公式为</w:t>
      </w:r>
    </w:p>
    <w:p w14:paraId="3C75725F">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eastAsia="宋体" w:hAnsi="Times New Roman" w:cs="Times New Roman" w:hint="eastAsia"/>
          <w:i w:val="0"/>
          <w:sz w:val="21"/>
          <w:lang w:val="en-US" w:eastAsia="zh-CN"/>
        </w:rPr>
      </w:pPr>
      <m:oMathPara>
        <m:oMath>
          <m:r>
            <m:rPr>
              <m:nor/>
            </m:rPr>
            <w:rPr>
              <w:rFonts w:ascii="Times New Roman" w:eastAsia="宋体" w:hAnsi="Times New Roman" w:cs="Times New Roman" w:hint="default"/>
              <w:i/>
              <w:sz w:val="21"/>
            </w:rPr>
            <m:t>CVR</m:t>
          </m:r>
          <m:r>
            <m:rPr>
              <m:nor/>
              <m:sty m:val="p"/>
            </m:rPr>
            <w:rPr>
              <w:rFonts w:ascii="Times New Roman" w:eastAsia="宋体" w:hAnsi="Times New Roman" w:cs="Times New Roman" w:hint="default"/>
              <w:b w:val="0"/>
              <w:i w:val="0"/>
              <w:sz w:val="21"/>
            </w:rPr>
            <m:t>=(</m:t>
          </m:r>
          <m:r>
            <m:rPr>
              <m:nor/>
            </m:rPr>
            <w:rPr>
              <w:rFonts w:ascii="Times New Roman" w:eastAsia="宋体" w:hAnsi="Times New Roman" w:cs="Times New Roman" w:hint="default"/>
              <w:i/>
              <w:sz w:val="21"/>
            </w:rPr>
            <m:t>AC</m:t>
          </m:r>
          <m:r>
            <m:rPr>
              <m:nor/>
              <m:sty m:val="p"/>
            </m:rPr>
            <w:rPr>
              <w:rFonts w:ascii="Times New Roman" w:eastAsia="宋体" w:hAnsi="Times New Roman" w:cs="Times New Roman" w:hint="default"/>
              <w:b w:val="0"/>
              <w:i w:val="0"/>
              <w:sz w:val="21"/>
            </w:rPr>
            <m:t>−</m:t>
          </m:r>
          <m:r>
            <m:rPr>
              <m:nor/>
            </m:rPr>
            <w:rPr>
              <w:rFonts w:ascii="Times New Roman" w:eastAsia="宋体" w:hAnsi="Times New Roman" w:cs="Times New Roman" w:hint="default"/>
              <w:i/>
              <w:sz w:val="21"/>
            </w:rPr>
            <m:t>BC</m:t>
          </m:r>
          <m:r>
            <m:rPr>
              <m:nor/>
              <m:sty m:val="p"/>
            </m:rPr>
            <w:rPr>
              <w:rFonts w:ascii="Times New Roman" w:eastAsia="宋体" w:hAnsi="Times New Roman" w:cs="Times New Roman" w:hint="default"/>
              <w:b w:val="0"/>
              <w:i w:val="0"/>
              <w:sz w:val="21"/>
            </w:rPr>
            <m:t>)/</m:t>
          </m:r>
          <m:r>
            <m:rPr>
              <m:nor/>
            </m:rPr>
            <w:rPr>
              <w:rFonts w:ascii="Times New Roman" w:eastAsia="宋体" w:hAnsi="Times New Roman" w:cs="Times New Roman" w:hint="default"/>
              <w:i/>
              <w:sz w:val="21"/>
            </w:rPr>
            <m:t>BC</m:t>
          </m:r>
          <m:r>
            <m:rPr>
              <m:nor/>
              <m:sty m:val="p"/>
            </m:rPr>
            <w:rPr>
              <w:rFonts w:ascii="Times New Roman" w:eastAsia="宋体" w:hAnsi="Times New Roman" w:cs="Times New Roman" w:hint="default"/>
              <w:b w:val="0"/>
              <w:i w:val="0"/>
              <w:sz w:val="21"/>
            </w:rPr>
            <m:t>×100</m:t>
          </m:r>
          <m:r>
            <m:rPr>
              <m:nor/>
              <m:sty m:val="p"/>
            </m:rPr>
            <w:rPr>
              <w:rFonts w:ascii="Times New Roman" w:eastAsia="宋体" w:hAnsi="Times New Roman" w:cs="Times New Roman" w:hint="default"/>
              <w:b w:val="0"/>
              <w:i w:val="0"/>
              <w:sz w:val="21"/>
              <w:lang w:val="en-US" w:eastAsia="zh-CN"/>
            </w:rPr>
            <m:t>%</m:t>
          </m:r>
        </m:oMath>
      </m:oMathPara>
    </w:p>
    <w:p w14:paraId="32D3824B">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其中CVR为成本偏差率，AC为分项工程实际成本，BC为分项工程目标预算成本。利用该公式可以准确地判断出各个工序的成本控制偏差程度，偏差率在合理的范围内就保持现有的管控模式，偏差率超过阈值时就需要对资源浪费、计价错误、工艺冗余等进行排查。另外创建分级考核制度，把细分的成本控制指标同岗位的履职相联系，保证目标成本落到实处，从源头上避免出现系统性的造价超支风险</w:t>
      </w:r>
      <w:r>
        <w:rPr>
          <w:rFonts w:ascii="Times New Roman" w:eastAsia="宋体" w:hAnsi="Times New Roman" w:cs="Times New Roman" w:hint="eastAsia"/>
          <w:b w:val="0"/>
          <w:bCs w:val="0"/>
          <w:sz w:val="21"/>
          <w:szCs w:val="21"/>
          <w:vertAlign w:val="superscript"/>
          <w:lang w:val="en-US" w:eastAsia="zh-CN"/>
        </w:rPr>
        <w:t>[5]</w:t>
      </w:r>
      <w:r>
        <w:rPr>
          <w:rFonts w:ascii="Times New Roman" w:eastAsia="宋体" w:hAnsi="Times New Roman" w:cs="Times New Roman" w:hint="default"/>
          <w:b w:val="0"/>
          <w:bCs w:val="0"/>
          <w:sz w:val="21"/>
          <w:szCs w:val="21"/>
        </w:rPr>
        <w:t>。</w:t>
      </w:r>
    </w:p>
    <w:p w14:paraId="4AB9E81F">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ascii="Times New Roman" w:eastAsia="宋体" w:hAnsi="Times New Roman" w:cs="Times New Roman" w:hint="default"/>
          <w:b/>
          <w:bCs/>
          <w:sz w:val="21"/>
          <w:szCs w:val="21"/>
        </w:rPr>
      </w:pPr>
      <w:bookmarkStart w:id="14" w:name="heading_14"/>
      <w:r>
        <w:rPr>
          <w:rFonts w:ascii="Times New Roman" w:eastAsia="宋体" w:hAnsi="Times New Roman" w:cs="Times New Roman" w:hint="default"/>
          <w:b/>
          <w:bCs/>
          <w:sz w:val="21"/>
          <w:szCs w:val="21"/>
        </w:rPr>
        <w:t>3.2规范变更签证管控，降低不确定性成本</w:t>
      </w:r>
      <w:bookmarkEnd w:id="14"/>
    </w:p>
    <w:p w14:paraId="4A3CE94C">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电力工程施工受地形条件、电网配套、技术标准调整等众多因素的影响，很容易出现设计变更和现场签证，是施工阶段不确定性成本增长的主要原因，无序控制会造成项目利润空间被大幅压缩。进阶管控模式之下，要创建起标准的、流程化的变更签证管控体系，并且要健全事前论证、事中审核、事后归档的全过程管理机制。所有的施工变更必须先做技术可行性和经济合理性的论证，比较变更前后工程量、造价、工期的变化，评价变更对整个造价的影响，经多方主体审核通过后方可执行，不得随意变更、无效变更。现场签证按照“即时发生、即时核验、即时计量”的原则进行，同时保存影像资料、工程量计算书、现场记录等佐证材料，确定签证计价标准和取费标准，防止事后补签、虚签、漏签。同时建立变更签证台账，对累计变更造价进行动态统计，及时更新项目整体造价数据，实现不确定性成本的可控化控制。</w:t>
      </w:r>
    </w:p>
    <w:p w14:paraId="4F84BDC6">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ascii="Times New Roman" w:eastAsia="宋体" w:hAnsi="Times New Roman" w:cs="Times New Roman" w:hint="default"/>
          <w:b/>
          <w:bCs/>
          <w:sz w:val="21"/>
          <w:szCs w:val="21"/>
        </w:rPr>
      </w:pPr>
      <w:bookmarkStart w:id="15" w:name="heading_15"/>
      <w:r>
        <w:rPr>
          <w:rFonts w:ascii="Times New Roman" w:eastAsia="宋体" w:hAnsi="Times New Roman" w:cs="Times New Roman" w:hint="default"/>
          <w:b/>
          <w:bCs/>
          <w:sz w:val="21"/>
          <w:szCs w:val="21"/>
        </w:rPr>
        <w:t>3.3优化资源配置模式，严控要素成本损耗</w:t>
      </w:r>
      <w:bookmarkEnd w:id="15"/>
    </w:p>
    <w:p w14:paraId="067273C3">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人工、材料、机械是电力工程施工的主要资源要素，资源配置效率以及损耗控制水平直接影响到施工造价的整体水平，改善资源配置是减少可控成本的主要途径。材料成本在电力施工总成本中所占比例最高，必须创建集采定价、限额领料、废料回收的全链条管控体系，依靠集中采购来平抑材料价格的变动，按照施工工序精确确定材料领用数量，对导地线、管材等主要材料实行套裁优化，缩减材料损耗率</w:t>
      </w:r>
      <w:r>
        <w:rPr>
          <w:rFonts w:ascii="Times New Roman" w:eastAsia="宋体" w:hAnsi="Times New Roman" w:cs="Times New Roman" w:hint="eastAsia"/>
          <w:b w:val="0"/>
          <w:bCs w:val="0"/>
          <w:sz w:val="21"/>
          <w:szCs w:val="21"/>
          <w:vertAlign w:val="superscript"/>
          <w:lang w:val="en-US" w:eastAsia="zh-CN"/>
        </w:rPr>
        <w:t>[6]</w:t>
      </w:r>
      <w:r>
        <w:rPr>
          <w:rFonts w:ascii="Times New Roman" w:eastAsia="宋体" w:hAnsi="Times New Roman" w:cs="Times New Roman" w:hint="default"/>
          <w:b w:val="0"/>
          <w:bCs w:val="0"/>
          <w:sz w:val="21"/>
          <w:szCs w:val="21"/>
        </w:rPr>
        <w:t>。人工成本控制要改善用工方式，依照施工进度安排工序穿插计划，及时调配作业人员，削减窝工、返工等无谓的人工耗费，提高人工作业效能。机械成本控制按照施工计划合理配置机械设备，准确确定机械进场、退场时间，防止设备闲置造成租赁损耗。同时根据项目施工数据，动态调整各种资源之间的比例关系，使资源投入与施工产出达到最佳匹配，从而达到资源利用率最高、要素损耗最少的目的。</w:t>
      </w:r>
    </w:p>
    <w:p w14:paraId="7690731E">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ascii="Times New Roman" w:eastAsia="宋体" w:hAnsi="Times New Roman" w:cs="Times New Roman" w:hint="default"/>
          <w:b/>
          <w:bCs/>
          <w:sz w:val="21"/>
          <w:szCs w:val="21"/>
        </w:rPr>
      </w:pPr>
      <w:bookmarkStart w:id="16" w:name="heading_16"/>
      <w:r>
        <w:rPr>
          <w:rFonts w:ascii="Times New Roman" w:eastAsia="宋体" w:hAnsi="Times New Roman" w:cs="Times New Roman" w:hint="default"/>
          <w:b/>
          <w:bCs/>
          <w:sz w:val="21"/>
          <w:szCs w:val="21"/>
        </w:rPr>
        <w:t>3.4深化数字化应用，构建动态监测体系</w:t>
      </w:r>
      <w:bookmarkEnd w:id="16"/>
    </w:p>
    <w:p w14:paraId="4BED4602">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数字化赋能是电力工程造价管理进阶升级的主要手段，可以很好地解决传统管控数据滞后、分析片面、预判不足等难题。施工全过程采用BIM5D数字化管控模型，把三维施工模型、进度数据、造价数据三者结合起来，创建起动态可视化的造价管控平台，及时更新并监测各个分项工程的施工进度、资源投入、成本消耗等数据。利用平台大数据分析功能，对造价复盘分析结果进行整理，把目标成本和实际成本之间的差别找出来，并且准确找到造成成本超支、资源浪费的关键工序、环节。另外创建造价风险预警体系，设置成本偏差、工期偏差、材料损耗率等主要预警指标，分成合理、预警、超标三个管控等级，对不同的等级风险采取差别化的纠偏措施。利用数字化技术把造价控制由被动的纠正变为主动的预测、精确的控制，全面提高施工阶段造价控制的智能化、精细化程度。</w:t>
      </w:r>
    </w:p>
    <w:p w14:paraId="07C17FE0">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0"/>
        <w:rPr>
          <w:rFonts w:ascii="Times New Roman" w:eastAsia="宋体" w:hAnsi="Times New Roman" w:cs="Times New Roman" w:hint="default"/>
          <w:b/>
          <w:bCs/>
          <w:sz w:val="21"/>
          <w:szCs w:val="21"/>
        </w:rPr>
      </w:pPr>
      <w:bookmarkStart w:id="17" w:name="heading_17"/>
      <w:r>
        <w:rPr>
          <w:rFonts w:ascii="Times New Roman" w:eastAsia="宋体" w:hAnsi="Times New Roman" w:cs="Times New Roman" w:hint="default"/>
          <w:b/>
          <w:bCs/>
          <w:sz w:val="21"/>
          <w:szCs w:val="21"/>
        </w:rPr>
        <w:t>4案例分析</w:t>
      </w:r>
      <w:bookmarkEnd w:id="17"/>
    </w:p>
    <w:p w14:paraId="7D620F49">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0"/>
        <w:rPr>
          <w:rFonts w:ascii="Times New Roman" w:eastAsia="宋体" w:hAnsi="Times New Roman" w:cs="Times New Roman" w:hint="default"/>
          <w:b/>
          <w:bCs/>
          <w:sz w:val="21"/>
          <w:szCs w:val="21"/>
          <w:lang w:val="en-US" w:eastAsia="zh-CN"/>
        </w:rPr>
      </w:pPr>
      <w:r>
        <w:rPr>
          <w:rFonts w:ascii="Times New Roman" w:eastAsia="宋体" w:hAnsi="Times New Roman" w:cs="Times New Roman" w:hint="eastAsia"/>
          <w:b/>
          <w:bCs/>
          <w:sz w:val="21"/>
          <w:szCs w:val="21"/>
          <w:lang w:val="en-US" w:eastAsia="zh-CN"/>
        </w:rPr>
        <w:t>4.1项目背景</w:t>
      </w:r>
    </w:p>
    <w:p w14:paraId="6F72135D">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本文选取某大型电力输变电工程项目作为研究对象，该项目包含变电站改造、输电线路铺设、配套设备安装等众多分项工程，施工工序繁杂，资源投入量大，施工周期长，施工阶段造价控制难度大。项目开始时使用传统的静态造价控制模式，存在要素控制零散、变更控制不规范、成本偏差监测滞后等状况。为了改善管控效果，项目全</w:t>
      </w:r>
      <w:r>
        <w:rPr>
          <w:rFonts w:ascii="Times New Roman" w:eastAsia="宋体" w:hAnsi="Times New Roman" w:cs="Times New Roman" w:hint="eastAsia"/>
          <w:b w:val="0"/>
          <w:bCs w:val="0"/>
          <w:sz w:val="21"/>
          <w:szCs w:val="21"/>
          <w:lang w:eastAsia="zh-CN"/>
        </w:rPr>
        <w:t>过程</w:t>
      </w:r>
      <w:r>
        <w:rPr>
          <w:rFonts w:ascii="Times New Roman" w:eastAsia="宋体" w:hAnsi="Times New Roman" w:cs="Times New Roman" w:hint="default"/>
          <w:b w:val="0"/>
          <w:bCs w:val="0"/>
          <w:sz w:val="21"/>
          <w:szCs w:val="21"/>
        </w:rPr>
        <w:t>采用本文提出造价进阶管理体系，以创建全流程闭环管控架构、执行动态偏差控制、改良资源调配、加强数字化赋能等途径来开展造价控制工作，取得较好的实践成果。</w:t>
      </w:r>
    </w:p>
    <w:p w14:paraId="44B4FE14">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ascii="Times New Roman" w:eastAsia="宋体" w:hAnsi="Times New Roman" w:cs="Times New Roman" w:hint="default"/>
          <w:b/>
          <w:bCs/>
          <w:sz w:val="21"/>
          <w:szCs w:val="21"/>
          <w:lang w:val="en-US" w:eastAsia="zh-CN"/>
        </w:rPr>
      </w:pPr>
      <w:r>
        <w:rPr>
          <w:rFonts w:ascii="Times New Roman" w:eastAsia="宋体" w:hAnsi="Times New Roman" w:cs="Times New Roman" w:hint="eastAsia"/>
          <w:b/>
          <w:bCs/>
          <w:sz w:val="21"/>
          <w:szCs w:val="21"/>
          <w:lang w:val="en-US" w:eastAsia="zh-CN"/>
        </w:rPr>
        <w:t>4.2数据分析</w:t>
      </w:r>
    </w:p>
    <w:p w14:paraId="6EAE161D">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ascii="Times New Roman" w:eastAsia="宋体" w:hAnsi="Times New Roman" w:cs="Times New Roman" w:hint="eastAsia"/>
          <w:b w:val="0"/>
          <w:bCs w:val="0"/>
          <w:sz w:val="21"/>
          <w:szCs w:val="21"/>
          <w:lang w:eastAsia="zh-CN"/>
        </w:rPr>
      </w:pPr>
      <w:r>
        <w:rPr>
          <w:rFonts w:ascii="Times New Roman" w:eastAsia="宋体" w:hAnsi="Times New Roman" w:cs="Times New Roman" w:hint="default"/>
          <w:b w:val="0"/>
          <w:bCs w:val="0"/>
          <w:sz w:val="21"/>
          <w:szCs w:val="21"/>
        </w:rPr>
        <w:t>本次研究采用对比项目优化前后造价管控指标的方式，检验进阶法则的运用价值，具体的分析数据如下表所示</w:t>
      </w:r>
      <w:r>
        <w:rPr>
          <w:rFonts w:ascii="Times New Roman" w:eastAsia="宋体" w:hAnsi="Times New Roman" w:cs="Times New Roman" w:hint="eastAsia"/>
          <w:b w:val="0"/>
          <w:bCs w:val="0"/>
          <w:sz w:val="21"/>
          <w:szCs w:val="21"/>
          <w:lang w:eastAsia="zh-CN"/>
        </w:rPr>
        <w:t>。</w:t>
      </w:r>
    </w:p>
    <w:p w14:paraId="435EB21D">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ascii="Times New Roman" w:eastAsia="宋体" w:hAnsi="Times New Roman" w:cs="Times New Roman" w:hint="default"/>
          <w:b/>
          <w:bCs/>
          <w:sz w:val="21"/>
          <w:szCs w:val="21"/>
        </w:rPr>
      </w:pPr>
      <w:bookmarkStart w:id="18" w:name="heading_18"/>
      <w:r>
        <w:rPr>
          <w:rFonts w:ascii="Times New Roman" w:eastAsia="宋体" w:hAnsi="Times New Roman" w:cs="Times New Roman" w:hint="default"/>
          <w:b/>
          <w:bCs/>
          <w:sz w:val="21"/>
          <w:szCs w:val="21"/>
        </w:rPr>
        <w:t>4.</w:t>
      </w:r>
      <w:r>
        <w:rPr>
          <w:rFonts w:ascii="Times New Roman" w:eastAsia="宋体" w:hAnsi="Times New Roman" w:cs="Times New Roman" w:hint="eastAsia"/>
          <w:b/>
          <w:bCs/>
          <w:sz w:val="21"/>
          <w:szCs w:val="21"/>
          <w:lang w:val="en-US" w:eastAsia="zh-CN"/>
        </w:rPr>
        <w:t>2.</w:t>
      </w:r>
      <w:r>
        <w:rPr>
          <w:rFonts w:ascii="Times New Roman" w:eastAsia="宋体" w:hAnsi="Times New Roman" w:cs="Times New Roman" w:hint="default"/>
          <w:b/>
          <w:bCs/>
          <w:sz w:val="21"/>
          <w:szCs w:val="21"/>
        </w:rPr>
        <w:t>1项目管控指标对比分析</w:t>
      </w:r>
      <w:bookmarkEnd w:id="18"/>
    </w:p>
    <w:p w14:paraId="7EBA0676">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为了直观地体现进阶造价管理体系应用的效果，选取成本偏差率、材料损耗率、变更签证合规率、结算争议率这四个主要的控制指标，对传统管控模式和进阶管控模式进行比较，具体的指标数据见表1。</w:t>
      </w:r>
    </w:p>
    <w:p w14:paraId="7E9B0A03">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eastAsia="宋体" w:hAnsi="Times New Roman" w:cs="Times New Roman" w:hint="default"/>
          <w:b w:val="0"/>
          <w:bCs w:val="0"/>
          <w:sz w:val="21"/>
          <w:szCs w:val="21"/>
          <w:lang w:val="en-US" w:eastAsia="zh-CN"/>
        </w:rPr>
      </w:pPr>
      <w:r>
        <w:rPr>
          <w:rFonts w:ascii="Times New Roman" w:eastAsia="宋体" w:hAnsi="Times New Roman" w:cs="Times New Roman" w:hint="default"/>
          <w:b w:val="0"/>
          <w:bCs w:val="0"/>
          <w:sz w:val="21"/>
          <w:szCs w:val="21"/>
        </w:rPr>
        <w:t>表1</w:t>
      </w:r>
      <w:r>
        <w:rPr>
          <w:rFonts w:ascii="Times New Roman" w:eastAsia="宋体" w:hAnsi="Times New Roman" w:cs="Times New Roman" w:hint="eastAsia"/>
          <w:b w:val="0"/>
          <w:bCs w:val="0"/>
          <w:sz w:val="21"/>
          <w:szCs w:val="21"/>
          <w:lang w:val="en-US" w:eastAsia="zh-CN"/>
        </w:rPr>
        <w:t xml:space="preserve">  </w:t>
      </w:r>
      <w:r>
        <w:rPr>
          <w:rFonts w:ascii="Times New Roman" w:eastAsia="宋体" w:hAnsi="Times New Roman" w:cs="Times New Roman" w:hint="default"/>
          <w:b w:val="0"/>
          <w:bCs w:val="0"/>
          <w:sz w:val="21"/>
          <w:szCs w:val="21"/>
        </w:rPr>
        <w:t>不同管控模式下项目核心造价管控指标对比</w:t>
      </w:r>
    </w:p>
    <w:tbl>
      <w:tblPr>
        <w:tblStyle w:val="TableGrid"/>
        <w:tblW w:w="8400" w:type="dxa"/>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108" w:type="dxa"/>
          <w:bottom w:w="0" w:type="dxa"/>
          <w:right w:w="108" w:type="dxa"/>
        </w:tblCellMar>
      </w:tblPr>
      <w:tblGrid>
        <w:gridCol w:w="1596"/>
        <w:gridCol w:w="1701"/>
        <w:gridCol w:w="1701"/>
        <w:gridCol w:w="1701"/>
        <w:gridCol w:w="1701"/>
      </w:tblGrid>
      <w:tr w14:paraId="597862F9">
        <w:tblPrEx>
          <w:tblW w:w="8400" w:type="dxa"/>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108" w:type="dxa"/>
            <w:bottom w:w="0" w:type="dxa"/>
            <w:right w:w="108" w:type="dxa"/>
          </w:tblCellMar>
        </w:tblPrEx>
        <w:trPr>
          <w:trHeight w:hRule="auto" w:val="0"/>
          <w:tblHeader/>
          <w:jc w:val="center"/>
        </w:trPr>
        <w:tc>
          <w:tcPr>
            <w:tcW w:w="1596" w:type="dxa"/>
            <w:tcBorders>
              <w:top w:val="single" w:sz="12" w:space="0" w:color="auto"/>
              <w:left w:val="nil"/>
              <w:bottom w:val="nil"/>
              <w:right w:val="nil"/>
            </w:tcBorders>
            <w:shd w:val="clear" w:color="auto" w:fill="auto"/>
            <w:noWrap w:val="0"/>
            <w:tcMar>
              <w:top w:w="-1" w:type="dxa"/>
              <w:left w:w="-1" w:type="dxa"/>
              <w:bottom w:w="-1" w:type="dxa"/>
              <w:right w:w="-1" w:type="dxa"/>
            </w:tcMar>
            <w:vAlign w:val="center"/>
          </w:tcPr>
          <w:p w14:paraId="596255FC">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bCs w:val="0"/>
                <w:sz w:val="21"/>
                <w:szCs w:val="21"/>
              </w:rPr>
            </w:pPr>
            <w:r>
              <w:rPr>
                <w:rFonts w:ascii="Times New Roman" w:eastAsia="宋体" w:hAnsi="Times New Roman" w:cs="Times New Roman" w:hint="default"/>
                <w:b/>
                <w:bCs w:val="0"/>
                <w:sz w:val="21"/>
                <w:szCs w:val="21"/>
              </w:rPr>
              <w:t>管控模式</w:t>
            </w:r>
          </w:p>
        </w:tc>
        <w:tc>
          <w:tcPr>
            <w:tcW w:w="1701" w:type="dxa"/>
            <w:tcBorders>
              <w:top w:val="single" w:sz="12" w:space="0" w:color="auto"/>
              <w:left w:val="nil"/>
              <w:bottom w:val="nil"/>
              <w:right w:val="nil"/>
            </w:tcBorders>
            <w:shd w:val="clear" w:color="auto" w:fill="auto"/>
            <w:noWrap w:val="0"/>
            <w:tcMar>
              <w:top w:w="-1" w:type="dxa"/>
              <w:left w:w="-1" w:type="dxa"/>
              <w:bottom w:w="-1" w:type="dxa"/>
              <w:right w:w="-1" w:type="dxa"/>
            </w:tcMar>
            <w:vAlign w:val="center"/>
          </w:tcPr>
          <w:p w14:paraId="08049F3A">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bCs w:val="0"/>
                <w:sz w:val="21"/>
                <w:szCs w:val="21"/>
              </w:rPr>
            </w:pPr>
            <w:r>
              <w:rPr>
                <w:rFonts w:ascii="Times New Roman" w:eastAsia="宋体" w:hAnsi="Times New Roman" w:cs="Times New Roman" w:hint="default"/>
                <w:b/>
                <w:bCs w:val="0"/>
                <w:sz w:val="21"/>
                <w:szCs w:val="21"/>
              </w:rPr>
              <w:t>成本偏差率</w:t>
            </w:r>
          </w:p>
          <w:p w14:paraId="16416A0C">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bCs w:val="0"/>
                <w:sz w:val="21"/>
                <w:szCs w:val="21"/>
              </w:rPr>
            </w:pPr>
            <w:r>
              <w:rPr>
                <w:rFonts w:ascii="Times New Roman" w:eastAsia="宋体" w:hAnsi="Times New Roman" w:cs="Times New Roman" w:hint="default"/>
                <w:b/>
                <w:bCs w:val="0"/>
                <w:sz w:val="21"/>
                <w:szCs w:val="21"/>
              </w:rPr>
              <w:t>（%）</w:t>
            </w:r>
          </w:p>
        </w:tc>
        <w:tc>
          <w:tcPr>
            <w:tcW w:w="1701" w:type="dxa"/>
            <w:tcBorders>
              <w:top w:val="single" w:sz="12" w:space="0" w:color="auto"/>
              <w:left w:val="nil"/>
              <w:bottom w:val="nil"/>
              <w:right w:val="nil"/>
            </w:tcBorders>
            <w:shd w:val="clear" w:color="auto" w:fill="auto"/>
            <w:noWrap w:val="0"/>
            <w:tcMar>
              <w:top w:w="-1" w:type="dxa"/>
              <w:left w:w="-1" w:type="dxa"/>
              <w:bottom w:w="-1" w:type="dxa"/>
              <w:right w:w="-1" w:type="dxa"/>
            </w:tcMar>
            <w:vAlign w:val="center"/>
          </w:tcPr>
          <w:p w14:paraId="30E8EBE7">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bCs w:val="0"/>
                <w:sz w:val="21"/>
                <w:szCs w:val="21"/>
              </w:rPr>
            </w:pPr>
            <w:r>
              <w:rPr>
                <w:rFonts w:ascii="Times New Roman" w:eastAsia="宋体" w:hAnsi="Times New Roman" w:cs="Times New Roman" w:hint="default"/>
                <w:b/>
                <w:bCs w:val="0"/>
                <w:sz w:val="21"/>
                <w:szCs w:val="21"/>
              </w:rPr>
              <w:t>材料损耗率</w:t>
            </w:r>
          </w:p>
          <w:p w14:paraId="4946053D">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bCs w:val="0"/>
                <w:sz w:val="21"/>
                <w:szCs w:val="21"/>
              </w:rPr>
            </w:pPr>
            <w:r>
              <w:rPr>
                <w:rFonts w:ascii="Times New Roman" w:eastAsia="宋体" w:hAnsi="Times New Roman" w:cs="Times New Roman" w:hint="default"/>
                <w:b/>
                <w:bCs w:val="0"/>
                <w:sz w:val="21"/>
                <w:szCs w:val="21"/>
              </w:rPr>
              <w:t>（%）</w:t>
            </w:r>
          </w:p>
        </w:tc>
        <w:tc>
          <w:tcPr>
            <w:tcW w:w="1701" w:type="dxa"/>
            <w:tcBorders>
              <w:top w:val="single" w:sz="12" w:space="0" w:color="auto"/>
              <w:left w:val="nil"/>
              <w:bottom w:val="nil"/>
              <w:right w:val="nil"/>
            </w:tcBorders>
            <w:shd w:val="clear" w:color="auto" w:fill="auto"/>
            <w:noWrap w:val="0"/>
            <w:tcMar>
              <w:top w:w="-1" w:type="dxa"/>
              <w:left w:w="-1" w:type="dxa"/>
              <w:bottom w:w="-1" w:type="dxa"/>
              <w:right w:w="-1" w:type="dxa"/>
            </w:tcMar>
            <w:vAlign w:val="center"/>
          </w:tcPr>
          <w:p w14:paraId="7D52710A">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bCs w:val="0"/>
                <w:sz w:val="21"/>
                <w:szCs w:val="21"/>
              </w:rPr>
            </w:pPr>
            <w:r>
              <w:rPr>
                <w:rFonts w:ascii="Times New Roman" w:eastAsia="宋体" w:hAnsi="Times New Roman" w:cs="Times New Roman" w:hint="default"/>
                <w:b/>
                <w:bCs w:val="0"/>
                <w:sz w:val="21"/>
                <w:szCs w:val="21"/>
              </w:rPr>
              <w:t>变更签证合规率</w:t>
            </w:r>
          </w:p>
          <w:p w14:paraId="286C81BA">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bCs w:val="0"/>
                <w:sz w:val="21"/>
                <w:szCs w:val="21"/>
              </w:rPr>
            </w:pPr>
            <w:r>
              <w:rPr>
                <w:rFonts w:ascii="Times New Roman" w:eastAsia="宋体" w:hAnsi="Times New Roman" w:cs="Times New Roman" w:hint="default"/>
                <w:b/>
                <w:bCs w:val="0"/>
                <w:sz w:val="21"/>
                <w:szCs w:val="21"/>
              </w:rPr>
              <w:t>（%）</w:t>
            </w:r>
          </w:p>
        </w:tc>
        <w:tc>
          <w:tcPr>
            <w:tcW w:w="1701" w:type="dxa"/>
            <w:tcBorders>
              <w:top w:val="single" w:sz="12" w:space="0" w:color="auto"/>
              <w:left w:val="nil"/>
              <w:bottom w:val="nil"/>
              <w:right w:val="nil"/>
            </w:tcBorders>
            <w:shd w:val="clear" w:color="auto" w:fill="auto"/>
            <w:noWrap w:val="0"/>
            <w:tcMar>
              <w:top w:w="-1" w:type="dxa"/>
              <w:left w:w="-1" w:type="dxa"/>
              <w:bottom w:w="-1" w:type="dxa"/>
              <w:right w:w="-1" w:type="dxa"/>
            </w:tcMar>
            <w:vAlign w:val="center"/>
          </w:tcPr>
          <w:p w14:paraId="28BAC0C6">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bCs w:val="0"/>
                <w:sz w:val="21"/>
                <w:szCs w:val="21"/>
              </w:rPr>
            </w:pPr>
            <w:r>
              <w:rPr>
                <w:rFonts w:ascii="Times New Roman" w:eastAsia="宋体" w:hAnsi="Times New Roman" w:cs="Times New Roman" w:hint="default"/>
                <w:b/>
                <w:bCs w:val="0"/>
                <w:sz w:val="21"/>
                <w:szCs w:val="21"/>
              </w:rPr>
              <w:t>结算争议率</w:t>
            </w:r>
          </w:p>
          <w:p w14:paraId="39B65BCC">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bCs w:val="0"/>
                <w:sz w:val="21"/>
                <w:szCs w:val="21"/>
              </w:rPr>
            </w:pPr>
            <w:r>
              <w:rPr>
                <w:rFonts w:ascii="Times New Roman" w:eastAsia="宋体" w:hAnsi="Times New Roman" w:cs="Times New Roman" w:hint="default"/>
                <w:b/>
                <w:bCs w:val="0"/>
                <w:sz w:val="21"/>
                <w:szCs w:val="21"/>
              </w:rPr>
              <w:t>（%）</w:t>
            </w:r>
          </w:p>
        </w:tc>
      </w:tr>
      <w:tr w14:paraId="69217A9A">
        <w:tblPrEx>
          <w:tblW w:w="8400" w:type="dxa"/>
          <w:jc w:val="center"/>
          <w:tblCellMar>
            <w:top w:w="0" w:type="dxa"/>
            <w:left w:w="108" w:type="dxa"/>
            <w:bottom w:w="0" w:type="dxa"/>
            <w:right w:w="108" w:type="dxa"/>
          </w:tblCellMar>
        </w:tblPrEx>
        <w:trPr>
          <w:trHeight w:hRule="auto" w:val="0"/>
          <w:jc w:val="center"/>
        </w:trPr>
        <w:tc>
          <w:tcPr>
            <w:tcW w:w="1596" w:type="dxa"/>
            <w:tcBorders>
              <w:top w:val="single" w:sz="4" w:space="0" w:color="auto"/>
              <w:left w:val="nil"/>
              <w:bottom w:val="nil"/>
              <w:right w:val="nil"/>
            </w:tcBorders>
            <w:shd w:val="clear" w:color="auto" w:fill="auto"/>
            <w:noWrap w:val="0"/>
            <w:tcMar>
              <w:top w:w="-1" w:type="dxa"/>
              <w:left w:w="-1" w:type="dxa"/>
              <w:bottom w:w="-1" w:type="dxa"/>
              <w:right w:w="-1" w:type="dxa"/>
            </w:tcMar>
            <w:vAlign w:val="center"/>
          </w:tcPr>
          <w:p w14:paraId="364BC61E">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传统管控模式</w:t>
            </w:r>
          </w:p>
        </w:tc>
        <w:tc>
          <w:tcPr>
            <w:tcW w:w="1701" w:type="dxa"/>
            <w:tcBorders>
              <w:top w:val="single" w:sz="4" w:space="0" w:color="auto"/>
              <w:left w:val="nil"/>
              <w:bottom w:val="nil"/>
              <w:right w:val="nil"/>
            </w:tcBorders>
            <w:shd w:val="clear" w:color="auto" w:fill="auto"/>
            <w:noWrap w:val="0"/>
            <w:tcMar>
              <w:top w:w="-1" w:type="dxa"/>
              <w:left w:w="-1" w:type="dxa"/>
              <w:bottom w:w="-1" w:type="dxa"/>
              <w:right w:w="-1" w:type="dxa"/>
            </w:tcMar>
            <w:vAlign w:val="center"/>
          </w:tcPr>
          <w:p w14:paraId="3881C025">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8.26</w:t>
            </w:r>
          </w:p>
        </w:tc>
        <w:tc>
          <w:tcPr>
            <w:tcW w:w="1701" w:type="dxa"/>
            <w:tcBorders>
              <w:top w:val="single" w:sz="4" w:space="0" w:color="auto"/>
              <w:left w:val="nil"/>
              <w:bottom w:val="nil"/>
              <w:right w:val="nil"/>
            </w:tcBorders>
            <w:shd w:val="clear" w:color="auto" w:fill="auto"/>
            <w:noWrap w:val="0"/>
            <w:tcMar>
              <w:top w:w="-1" w:type="dxa"/>
              <w:left w:w="-1" w:type="dxa"/>
              <w:bottom w:w="-1" w:type="dxa"/>
              <w:right w:w="-1" w:type="dxa"/>
            </w:tcMar>
            <w:vAlign w:val="center"/>
          </w:tcPr>
          <w:p w14:paraId="3573919A">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6.12</w:t>
            </w:r>
          </w:p>
        </w:tc>
        <w:tc>
          <w:tcPr>
            <w:tcW w:w="1701" w:type="dxa"/>
            <w:tcBorders>
              <w:top w:val="single" w:sz="4" w:space="0" w:color="auto"/>
              <w:left w:val="nil"/>
              <w:bottom w:val="nil"/>
              <w:right w:val="nil"/>
            </w:tcBorders>
            <w:shd w:val="clear" w:color="auto" w:fill="auto"/>
            <w:noWrap w:val="0"/>
            <w:tcMar>
              <w:top w:w="-1" w:type="dxa"/>
              <w:left w:w="-1" w:type="dxa"/>
              <w:bottom w:w="-1" w:type="dxa"/>
              <w:right w:w="-1" w:type="dxa"/>
            </w:tcMar>
            <w:vAlign w:val="center"/>
          </w:tcPr>
          <w:p w14:paraId="61683ECC">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78.35</w:t>
            </w:r>
          </w:p>
        </w:tc>
        <w:tc>
          <w:tcPr>
            <w:tcW w:w="1701" w:type="dxa"/>
            <w:tcBorders>
              <w:top w:val="single" w:sz="4" w:space="0" w:color="auto"/>
              <w:left w:val="nil"/>
              <w:bottom w:val="nil"/>
              <w:right w:val="nil"/>
            </w:tcBorders>
            <w:shd w:val="clear" w:color="auto" w:fill="auto"/>
            <w:noWrap w:val="0"/>
            <w:tcMar>
              <w:top w:w="-1" w:type="dxa"/>
              <w:left w:w="-1" w:type="dxa"/>
              <w:bottom w:w="-1" w:type="dxa"/>
              <w:right w:w="-1" w:type="dxa"/>
            </w:tcMar>
            <w:vAlign w:val="center"/>
          </w:tcPr>
          <w:p w14:paraId="613AE6C3">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12.48</w:t>
            </w:r>
          </w:p>
        </w:tc>
      </w:tr>
      <w:tr w14:paraId="318F49D4">
        <w:tblPrEx>
          <w:tblW w:w="8400" w:type="dxa"/>
          <w:jc w:val="center"/>
          <w:tblCellMar>
            <w:top w:w="0" w:type="dxa"/>
            <w:left w:w="108" w:type="dxa"/>
            <w:bottom w:w="0" w:type="dxa"/>
            <w:right w:w="108" w:type="dxa"/>
          </w:tblCellMar>
        </w:tblPrEx>
        <w:trPr>
          <w:trHeight w:hRule="auto" w:val="0"/>
          <w:jc w:val="center"/>
        </w:trPr>
        <w:tc>
          <w:tcPr>
            <w:tcW w:w="1596" w:type="dxa"/>
            <w:tcBorders>
              <w:top w:val="nil"/>
              <w:left w:val="nil"/>
              <w:bottom w:val="single" w:sz="12" w:space="0" w:color="auto"/>
              <w:right w:val="nil"/>
            </w:tcBorders>
            <w:shd w:val="clear" w:color="auto" w:fill="auto"/>
            <w:noWrap w:val="0"/>
            <w:tcMar>
              <w:top w:w="-1" w:type="dxa"/>
              <w:left w:w="-1" w:type="dxa"/>
              <w:bottom w:w="-1" w:type="dxa"/>
              <w:right w:w="-1" w:type="dxa"/>
            </w:tcMar>
            <w:vAlign w:val="center"/>
          </w:tcPr>
          <w:p w14:paraId="3EECD1B3">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进阶管控模式</w:t>
            </w:r>
          </w:p>
        </w:tc>
        <w:tc>
          <w:tcPr>
            <w:tcW w:w="1701" w:type="dxa"/>
            <w:tcBorders>
              <w:top w:val="nil"/>
              <w:left w:val="nil"/>
              <w:bottom w:val="single" w:sz="12" w:space="0" w:color="auto"/>
              <w:right w:val="nil"/>
            </w:tcBorders>
            <w:shd w:val="clear" w:color="auto" w:fill="auto"/>
            <w:noWrap w:val="0"/>
            <w:tcMar>
              <w:top w:w="-1" w:type="dxa"/>
              <w:left w:w="-1" w:type="dxa"/>
              <w:bottom w:w="-1" w:type="dxa"/>
              <w:right w:w="-1" w:type="dxa"/>
            </w:tcMar>
            <w:vAlign w:val="center"/>
          </w:tcPr>
          <w:p w14:paraId="6A8938D6">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3.15</w:t>
            </w:r>
          </w:p>
        </w:tc>
        <w:tc>
          <w:tcPr>
            <w:tcW w:w="1701" w:type="dxa"/>
            <w:tcBorders>
              <w:top w:val="nil"/>
              <w:left w:val="nil"/>
              <w:bottom w:val="single" w:sz="12" w:space="0" w:color="auto"/>
              <w:right w:val="nil"/>
            </w:tcBorders>
            <w:shd w:val="clear" w:color="auto" w:fill="auto"/>
            <w:noWrap w:val="0"/>
            <w:tcMar>
              <w:top w:w="-1" w:type="dxa"/>
              <w:left w:w="-1" w:type="dxa"/>
              <w:bottom w:w="-1" w:type="dxa"/>
              <w:right w:w="-1" w:type="dxa"/>
            </w:tcMar>
            <w:vAlign w:val="center"/>
          </w:tcPr>
          <w:p w14:paraId="7CA96A80">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3.08</w:t>
            </w:r>
          </w:p>
        </w:tc>
        <w:tc>
          <w:tcPr>
            <w:tcW w:w="1701" w:type="dxa"/>
            <w:tcBorders>
              <w:top w:val="nil"/>
              <w:left w:val="nil"/>
              <w:bottom w:val="single" w:sz="12" w:space="0" w:color="auto"/>
              <w:right w:val="nil"/>
            </w:tcBorders>
            <w:shd w:val="clear" w:color="auto" w:fill="auto"/>
            <w:noWrap w:val="0"/>
            <w:tcMar>
              <w:top w:w="-1" w:type="dxa"/>
              <w:left w:w="-1" w:type="dxa"/>
              <w:bottom w:w="-1" w:type="dxa"/>
              <w:right w:w="-1" w:type="dxa"/>
            </w:tcMar>
            <w:vAlign w:val="center"/>
          </w:tcPr>
          <w:p w14:paraId="412E13D7">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96.72</w:t>
            </w:r>
          </w:p>
        </w:tc>
        <w:tc>
          <w:tcPr>
            <w:tcW w:w="1701" w:type="dxa"/>
            <w:tcBorders>
              <w:top w:val="nil"/>
              <w:left w:val="nil"/>
              <w:bottom w:val="single" w:sz="12" w:space="0" w:color="auto"/>
              <w:right w:val="nil"/>
            </w:tcBorders>
            <w:shd w:val="clear" w:color="auto" w:fill="auto"/>
            <w:noWrap w:val="0"/>
            <w:tcMar>
              <w:top w:w="-1" w:type="dxa"/>
              <w:left w:w="-1" w:type="dxa"/>
              <w:bottom w:w="-1" w:type="dxa"/>
              <w:right w:w="-1" w:type="dxa"/>
            </w:tcMar>
            <w:vAlign w:val="center"/>
          </w:tcPr>
          <w:p w14:paraId="5B267706">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2.95</w:t>
            </w:r>
          </w:p>
        </w:tc>
      </w:tr>
    </w:tbl>
    <w:p w14:paraId="7F27DC19">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ascii="Times New Roman" w:eastAsia="宋体" w:hAnsi="Times New Roman" w:cs="Times New Roman" w:hint="default"/>
          <w:b w:val="0"/>
          <w:bCs w:val="0"/>
          <w:sz w:val="21"/>
          <w:szCs w:val="21"/>
        </w:rPr>
      </w:pPr>
    </w:p>
    <w:p w14:paraId="06040FF5">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ascii="Times New Roman" w:eastAsia="宋体" w:hAnsi="Times New Roman" w:cs="Times New Roman" w:hint="default"/>
          <w:b/>
          <w:bCs/>
          <w:sz w:val="21"/>
          <w:szCs w:val="21"/>
          <w:lang w:val="en-US" w:eastAsia="zh-CN"/>
        </w:rPr>
      </w:pPr>
      <w:bookmarkStart w:id="19" w:name="heading_19"/>
      <w:r>
        <w:rPr>
          <w:rFonts w:ascii="Times New Roman" w:eastAsia="宋体" w:hAnsi="Times New Roman" w:cs="Times New Roman" w:hint="default"/>
          <w:b/>
          <w:bCs/>
          <w:sz w:val="21"/>
          <w:szCs w:val="21"/>
          <w:lang w:val="en-US" w:eastAsia="zh-CN"/>
        </w:rPr>
        <w:t>4.2</w:t>
      </w:r>
      <w:r>
        <w:rPr>
          <w:rFonts w:ascii="Times New Roman" w:eastAsia="宋体" w:hAnsi="Times New Roman" w:cs="Times New Roman" w:hint="eastAsia"/>
          <w:b/>
          <w:bCs/>
          <w:sz w:val="21"/>
          <w:szCs w:val="21"/>
          <w:lang w:val="en-US" w:eastAsia="zh-CN"/>
        </w:rPr>
        <w:t>.2</w:t>
      </w:r>
      <w:r>
        <w:rPr>
          <w:rFonts w:ascii="Times New Roman" w:eastAsia="宋体" w:hAnsi="Times New Roman" w:cs="Times New Roman" w:hint="default"/>
          <w:b/>
          <w:bCs/>
          <w:sz w:val="21"/>
          <w:szCs w:val="21"/>
          <w:lang w:val="en-US" w:eastAsia="zh-CN"/>
        </w:rPr>
        <w:t>分项工程造价管控成效分析</w:t>
      </w:r>
      <w:bookmarkEnd w:id="19"/>
    </w:p>
    <w:p w14:paraId="55774101">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为了更具体地体现管控效果，从项目变电站土建、线路铺设、设备安装这三个主要分项工程出发，对各个分项工程的预算成本、实际成本和成本节约额进行统计，具体的造价数据见表2。</w:t>
      </w:r>
    </w:p>
    <w:p w14:paraId="12F74D35">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表2</w:t>
      </w:r>
      <w:r>
        <w:rPr>
          <w:rFonts w:ascii="Times New Roman" w:eastAsia="宋体" w:hAnsi="Times New Roman" w:cs="Times New Roman" w:hint="eastAsia"/>
          <w:b w:val="0"/>
          <w:bCs w:val="0"/>
          <w:sz w:val="21"/>
          <w:szCs w:val="21"/>
          <w:lang w:val="en-US" w:eastAsia="zh-CN"/>
        </w:rPr>
        <w:t xml:space="preserve">  </w:t>
      </w:r>
      <w:r>
        <w:rPr>
          <w:rFonts w:ascii="Times New Roman" w:eastAsia="宋体" w:hAnsi="Times New Roman" w:cs="Times New Roman" w:hint="default"/>
          <w:b w:val="0"/>
          <w:bCs w:val="0"/>
          <w:sz w:val="21"/>
          <w:szCs w:val="21"/>
        </w:rPr>
        <w:t>各分项工程造价管控成效数据</w:t>
      </w:r>
    </w:p>
    <w:tbl>
      <w:tblPr>
        <w:tblStyle w:val="TableGrid"/>
        <w:tblW w:w="8276" w:type="dxa"/>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108" w:type="dxa"/>
          <w:bottom w:w="0" w:type="dxa"/>
          <w:right w:w="108" w:type="dxa"/>
        </w:tblCellMar>
      </w:tblPr>
      <w:tblGrid>
        <w:gridCol w:w="1928"/>
        <w:gridCol w:w="1587"/>
        <w:gridCol w:w="1587"/>
        <w:gridCol w:w="1587"/>
        <w:gridCol w:w="1587"/>
      </w:tblGrid>
      <w:tr w14:paraId="05B5EB33">
        <w:tblPrEx>
          <w:tblW w:w="8276" w:type="dxa"/>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0" w:type="dxa"/>
            <w:left w:w="108" w:type="dxa"/>
            <w:bottom w:w="0" w:type="dxa"/>
            <w:right w:w="108" w:type="dxa"/>
          </w:tblCellMar>
        </w:tblPrEx>
        <w:trPr>
          <w:trHeight w:hRule="auto" w:val="0"/>
          <w:tblHeader/>
          <w:jc w:val="center"/>
        </w:trPr>
        <w:tc>
          <w:tcPr>
            <w:tcW w:w="1928" w:type="dxa"/>
            <w:tcBorders>
              <w:top w:val="single" w:sz="12" w:space="0" w:color="auto"/>
              <w:left w:val="nil"/>
              <w:bottom w:val="nil"/>
              <w:right w:val="nil"/>
            </w:tcBorders>
            <w:shd w:val="clear" w:color="auto" w:fill="auto"/>
            <w:noWrap w:val="0"/>
            <w:tcMar>
              <w:top w:w="-1" w:type="dxa"/>
              <w:left w:w="-1" w:type="dxa"/>
              <w:bottom w:w="-1" w:type="dxa"/>
              <w:right w:w="-1" w:type="dxa"/>
            </w:tcMar>
            <w:vAlign w:val="center"/>
          </w:tcPr>
          <w:p w14:paraId="312A4697">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bCs w:val="0"/>
                <w:sz w:val="21"/>
                <w:szCs w:val="21"/>
              </w:rPr>
            </w:pPr>
            <w:r>
              <w:rPr>
                <w:rFonts w:ascii="Times New Roman" w:eastAsia="宋体" w:hAnsi="Times New Roman" w:cs="Times New Roman" w:hint="default"/>
                <w:b/>
                <w:bCs w:val="0"/>
                <w:sz w:val="21"/>
                <w:szCs w:val="21"/>
              </w:rPr>
              <w:t>分项工程类型</w:t>
            </w:r>
          </w:p>
        </w:tc>
        <w:tc>
          <w:tcPr>
            <w:tcW w:w="1587" w:type="dxa"/>
            <w:tcBorders>
              <w:top w:val="single" w:sz="12" w:space="0" w:color="auto"/>
              <w:left w:val="nil"/>
              <w:bottom w:val="nil"/>
              <w:right w:val="nil"/>
            </w:tcBorders>
            <w:shd w:val="clear" w:color="auto" w:fill="auto"/>
            <w:noWrap w:val="0"/>
            <w:tcMar>
              <w:top w:w="-1" w:type="dxa"/>
              <w:left w:w="-1" w:type="dxa"/>
              <w:bottom w:w="-1" w:type="dxa"/>
              <w:right w:w="-1" w:type="dxa"/>
            </w:tcMar>
            <w:vAlign w:val="center"/>
          </w:tcPr>
          <w:p w14:paraId="5893F8FF">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bCs w:val="0"/>
                <w:sz w:val="21"/>
                <w:szCs w:val="21"/>
              </w:rPr>
            </w:pPr>
            <w:r>
              <w:rPr>
                <w:rFonts w:ascii="Times New Roman" w:eastAsia="宋体" w:hAnsi="Times New Roman" w:cs="Times New Roman" w:hint="default"/>
                <w:b/>
                <w:bCs w:val="0"/>
                <w:sz w:val="21"/>
                <w:szCs w:val="21"/>
              </w:rPr>
              <w:t>预算成本</w:t>
            </w:r>
          </w:p>
          <w:p w14:paraId="3A4D7A9A">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bCs w:val="0"/>
                <w:sz w:val="21"/>
                <w:szCs w:val="21"/>
              </w:rPr>
            </w:pPr>
            <w:r>
              <w:rPr>
                <w:rFonts w:ascii="Times New Roman" w:eastAsia="宋体" w:hAnsi="Times New Roman" w:cs="Times New Roman" w:hint="default"/>
                <w:b/>
                <w:bCs w:val="0"/>
                <w:sz w:val="21"/>
                <w:szCs w:val="21"/>
              </w:rPr>
              <w:t>（万元）</w:t>
            </w:r>
          </w:p>
        </w:tc>
        <w:tc>
          <w:tcPr>
            <w:tcW w:w="1587" w:type="dxa"/>
            <w:tcBorders>
              <w:top w:val="single" w:sz="12" w:space="0" w:color="auto"/>
              <w:left w:val="nil"/>
              <w:bottom w:val="nil"/>
              <w:right w:val="nil"/>
            </w:tcBorders>
            <w:shd w:val="clear" w:color="auto" w:fill="auto"/>
            <w:noWrap w:val="0"/>
            <w:tcMar>
              <w:top w:w="-1" w:type="dxa"/>
              <w:left w:w="-1" w:type="dxa"/>
              <w:bottom w:w="-1" w:type="dxa"/>
              <w:right w:w="-1" w:type="dxa"/>
            </w:tcMar>
            <w:vAlign w:val="center"/>
          </w:tcPr>
          <w:p w14:paraId="40CCFAD2">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bCs w:val="0"/>
                <w:sz w:val="21"/>
                <w:szCs w:val="21"/>
              </w:rPr>
            </w:pPr>
            <w:r>
              <w:rPr>
                <w:rFonts w:ascii="Times New Roman" w:eastAsia="宋体" w:hAnsi="Times New Roman" w:cs="Times New Roman" w:hint="default"/>
                <w:b/>
                <w:bCs w:val="0"/>
                <w:sz w:val="21"/>
                <w:szCs w:val="21"/>
              </w:rPr>
              <w:t>实际成本</w:t>
            </w:r>
          </w:p>
          <w:p w14:paraId="009B6789">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bCs w:val="0"/>
                <w:sz w:val="21"/>
                <w:szCs w:val="21"/>
              </w:rPr>
            </w:pPr>
            <w:r>
              <w:rPr>
                <w:rFonts w:ascii="Times New Roman" w:eastAsia="宋体" w:hAnsi="Times New Roman" w:cs="Times New Roman" w:hint="default"/>
                <w:b/>
                <w:bCs w:val="0"/>
                <w:sz w:val="21"/>
                <w:szCs w:val="21"/>
              </w:rPr>
              <w:t>（万元）</w:t>
            </w:r>
          </w:p>
        </w:tc>
        <w:tc>
          <w:tcPr>
            <w:tcW w:w="1587" w:type="dxa"/>
            <w:tcBorders>
              <w:top w:val="single" w:sz="12" w:space="0" w:color="auto"/>
              <w:left w:val="nil"/>
              <w:bottom w:val="nil"/>
              <w:right w:val="nil"/>
            </w:tcBorders>
            <w:shd w:val="clear" w:color="auto" w:fill="auto"/>
            <w:noWrap w:val="0"/>
            <w:tcMar>
              <w:top w:w="-1" w:type="dxa"/>
              <w:left w:w="-1" w:type="dxa"/>
              <w:bottom w:w="-1" w:type="dxa"/>
              <w:right w:w="-1" w:type="dxa"/>
            </w:tcMar>
            <w:vAlign w:val="center"/>
          </w:tcPr>
          <w:p w14:paraId="475FBE6A">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bCs w:val="0"/>
                <w:sz w:val="21"/>
                <w:szCs w:val="21"/>
              </w:rPr>
            </w:pPr>
            <w:r>
              <w:rPr>
                <w:rFonts w:ascii="Times New Roman" w:eastAsia="宋体" w:hAnsi="Times New Roman" w:cs="Times New Roman" w:hint="default"/>
                <w:b/>
                <w:bCs w:val="0"/>
                <w:sz w:val="21"/>
                <w:szCs w:val="21"/>
              </w:rPr>
              <w:t>成本节约额</w:t>
            </w:r>
          </w:p>
          <w:p w14:paraId="261A5242">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bCs w:val="0"/>
                <w:sz w:val="21"/>
                <w:szCs w:val="21"/>
              </w:rPr>
            </w:pPr>
            <w:r>
              <w:rPr>
                <w:rFonts w:ascii="Times New Roman" w:eastAsia="宋体" w:hAnsi="Times New Roman" w:cs="Times New Roman" w:hint="default"/>
                <w:b/>
                <w:bCs w:val="0"/>
                <w:sz w:val="21"/>
                <w:szCs w:val="21"/>
              </w:rPr>
              <w:t>（万元）</w:t>
            </w:r>
          </w:p>
        </w:tc>
        <w:tc>
          <w:tcPr>
            <w:tcW w:w="1587" w:type="dxa"/>
            <w:tcBorders>
              <w:top w:val="single" w:sz="12" w:space="0" w:color="auto"/>
              <w:left w:val="nil"/>
              <w:bottom w:val="nil"/>
              <w:right w:val="nil"/>
            </w:tcBorders>
            <w:shd w:val="clear" w:color="auto" w:fill="auto"/>
            <w:noWrap w:val="0"/>
            <w:tcMar>
              <w:top w:w="-1" w:type="dxa"/>
              <w:left w:w="-1" w:type="dxa"/>
              <w:bottom w:w="-1" w:type="dxa"/>
              <w:right w:w="-1" w:type="dxa"/>
            </w:tcMar>
            <w:vAlign w:val="center"/>
          </w:tcPr>
          <w:p w14:paraId="15D341EA">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bCs w:val="0"/>
                <w:sz w:val="21"/>
                <w:szCs w:val="21"/>
              </w:rPr>
            </w:pPr>
            <w:r>
              <w:rPr>
                <w:rFonts w:ascii="Times New Roman" w:eastAsia="宋体" w:hAnsi="Times New Roman" w:cs="Times New Roman" w:hint="default"/>
                <w:b/>
                <w:bCs w:val="0"/>
                <w:sz w:val="21"/>
                <w:szCs w:val="21"/>
              </w:rPr>
              <w:t>成本节约率</w:t>
            </w:r>
          </w:p>
          <w:p w14:paraId="711659D0">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bCs w:val="0"/>
                <w:sz w:val="21"/>
                <w:szCs w:val="21"/>
              </w:rPr>
            </w:pPr>
            <w:r>
              <w:rPr>
                <w:rFonts w:ascii="Times New Roman" w:eastAsia="宋体" w:hAnsi="Times New Roman" w:cs="Times New Roman" w:hint="default"/>
                <w:b/>
                <w:bCs w:val="0"/>
                <w:sz w:val="21"/>
                <w:szCs w:val="21"/>
              </w:rPr>
              <w:t>（%）</w:t>
            </w:r>
          </w:p>
        </w:tc>
      </w:tr>
      <w:tr w14:paraId="79D96191">
        <w:tblPrEx>
          <w:tblW w:w="8276" w:type="dxa"/>
          <w:jc w:val="center"/>
          <w:tblCellMar>
            <w:top w:w="0" w:type="dxa"/>
            <w:left w:w="108" w:type="dxa"/>
            <w:bottom w:w="0" w:type="dxa"/>
            <w:right w:w="108" w:type="dxa"/>
          </w:tblCellMar>
        </w:tblPrEx>
        <w:trPr>
          <w:trHeight w:hRule="auto" w:val="0"/>
          <w:jc w:val="center"/>
        </w:trPr>
        <w:tc>
          <w:tcPr>
            <w:tcW w:w="1928" w:type="dxa"/>
            <w:tcBorders>
              <w:top w:val="single" w:sz="4" w:space="0" w:color="auto"/>
              <w:left w:val="nil"/>
              <w:bottom w:val="nil"/>
              <w:right w:val="nil"/>
            </w:tcBorders>
            <w:shd w:val="clear" w:color="auto" w:fill="auto"/>
            <w:noWrap w:val="0"/>
            <w:tcMar>
              <w:top w:w="-1" w:type="dxa"/>
              <w:left w:w="-1" w:type="dxa"/>
              <w:bottom w:w="-1" w:type="dxa"/>
              <w:right w:w="-1" w:type="dxa"/>
            </w:tcMar>
            <w:vAlign w:val="center"/>
          </w:tcPr>
          <w:p w14:paraId="6C169923">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变电站土建工程</w:t>
            </w:r>
          </w:p>
        </w:tc>
        <w:tc>
          <w:tcPr>
            <w:tcW w:w="1587" w:type="dxa"/>
            <w:tcBorders>
              <w:top w:val="single" w:sz="4" w:space="0" w:color="auto"/>
              <w:left w:val="nil"/>
              <w:bottom w:val="nil"/>
              <w:right w:val="nil"/>
            </w:tcBorders>
            <w:shd w:val="clear" w:color="auto" w:fill="auto"/>
            <w:noWrap w:val="0"/>
            <w:tcMar>
              <w:top w:w="-1" w:type="dxa"/>
              <w:left w:w="-1" w:type="dxa"/>
              <w:bottom w:w="-1" w:type="dxa"/>
              <w:right w:w="-1" w:type="dxa"/>
            </w:tcMar>
            <w:vAlign w:val="center"/>
          </w:tcPr>
          <w:p w14:paraId="4F2C1B32">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896.32</w:t>
            </w:r>
          </w:p>
        </w:tc>
        <w:tc>
          <w:tcPr>
            <w:tcW w:w="1587" w:type="dxa"/>
            <w:tcBorders>
              <w:top w:val="single" w:sz="4" w:space="0" w:color="auto"/>
              <w:left w:val="nil"/>
              <w:bottom w:val="nil"/>
              <w:right w:val="nil"/>
            </w:tcBorders>
            <w:shd w:val="clear" w:color="auto" w:fill="auto"/>
            <w:noWrap w:val="0"/>
            <w:tcMar>
              <w:top w:w="-1" w:type="dxa"/>
              <w:left w:w="-1" w:type="dxa"/>
              <w:bottom w:w="-1" w:type="dxa"/>
              <w:right w:w="-1" w:type="dxa"/>
            </w:tcMar>
            <w:vAlign w:val="center"/>
          </w:tcPr>
          <w:p w14:paraId="5FA72EE3">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868.57</w:t>
            </w:r>
          </w:p>
        </w:tc>
        <w:tc>
          <w:tcPr>
            <w:tcW w:w="1587" w:type="dxa"/>
            <w:tcBorders>
              <w:top w:val="single" w:sz="4" w:space="0" w:color="auto"/>
              <w:left w:val="nil"/>
              <w:bottom w:val="nil"/>
              <w:right w:val="nil"/>
            </w:tcBorders>
            <w:shd w:val="clear" w:color="auto" w:fill="auto"/>
            <w:noWrap w:val="0"/>
            <w:tcMar>
              <w:top w:w="-1" w:type="dxa"/>
              <w:left w:w="-1" w:type="dxa"/>
              <w:bottom w:w="-1" w:type="dxa"/>
              <w:right w:w="-1" w:type="dxa"/>
            </w:tcMar>
            <w:vAlign w:val="center"/>
          </w:tcPr>
          <w:p w14:paraId="220411EA">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27.75</w:t>
            </w:r>
          </w:p>
        </w:tc>
        <w:tc>
          <w:tcPr>
            <w:tcW w:w="1587" w:type="dxa"/>
            <w:tcBorders>
              <w:top w:val="single" w:sz="4" w:space="0" w:color="auto"/>
              <w:left w:val="nil"/>
              <w:bottom w:val="nil"/>
              <w:right w:val="nil"/>
            </w:tcBorders>
            <w:shd w:val="clear" w:color="auto" w:fill="auto"/>
            <w:noWrap w:val="0"/>
            <w:tcMar>
              <w:top w:w="-1" w:type="dxa"/>
              <w:left w:w="-1" w:type="dxa"/>
              <w:bottom w:w="-1" w:type="dxa"/>
              <w:right w:w="-1" w:type="dxa"/>
            </w:tcMar>
            <w:vAlign w:val="center"/>
          </w:tcPr>
          <w:p w14:paraId="50178C8A">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3.10</w:t>
            </w:r>
          </w:p>
        </w:tc>
      </w:tr>
      <w:tr w14:paraId="3B67AE7E">
        <w:tblPrEx>
          <w:tblW w:w="8276" w:type="dxa"/>
          <w:jc w:val="center"/>
          <w:tblCellMar>
            <w:top w:w="0" w:type="dxa"/>
            <w:left w:w="108" w:type="dxa"/>
            <w:bottom w:w="0" w:type="dxa"/>
            <w:right w:w="108" w:type="dxa"/>
          </w:tblCellMar>
        </w:tblPrEx>
        <w:trPr>
          <w:trHeight w:hRule="auto" w:val="0"/>
          <w:jc w:val="center"/>
        </w:trPr>
        <w:tc>
          <w:tcPr>
            <w:tcW w:w="1928" w:type="dxa"/>
            <w:tcBorders>
              <w:top w:val="nil"/>
              <w:left w:val="nil"/>
              <w:bottom w:val="nil"/>
              <w:right w:val="nil"/>
            </w:tcBorders>
            <w:shd w:val="clear" w:color="auto" w:fill="auto"/>
            <w:noWrap w:val="0"/>
            <w:tcMar>
              <w:top w:w="-1" w:type="dxa"/>
              <w:left w:w="-1" w:type="dxa"/>
              <w:bottom w:w="-1" w:type="dxa"/>
              <w:right w:w="-1" w:type="dxa"/>
            </w:tcMar>
            <w:vAlign w:val="center"/>
          </w:tcPr>
          <w:p w14:paraId="153C33B8">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输电线路铺设工程</w:t>
            </w:r>
          </w:p>
        </w:tc>
        <w:tc>
          <w:tcPr>
            <w:tcW w:w="1587" w:type="dxa"/>
            <w:tcBorders>
              <w:top w:val="nil"/>
              <w:left w:val="nil"/>
              <w:bottom w:val="nil"/>
              <w:right w:val="nil"/>
            </w:tcBorders>
            <w:shd w:val="clear" w:color="auto" w:fill="auto"/>
            <w:noWrap w:val="0"/>
            <w:tcMar>
              <w:top w:w="-1" w:type="dxa"/>
              <w:left w:w="-1" w:type="dxa"/>
              <w:bottom w:w="-1" w:type="dxa"/>
              <w:right w:w="-1" w:type="dxa"/>
            </w:tcMar>
            <w:vAlign w:val="center"/>
          </w:tcPr>
          <w:p w14:paraId="7CD4D621">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752.18</w:t>
            </w:r>
          </w:p>
        </w:tc>
        <w:tc>
          <w:tcPr>
            <w:tcW w:w="1587" w:type="dxa"/>
            <w:tcBorders>
              <w:top w:val="nil"/>
              <w:left w:val="nil"/>
              <w:bottom w:val="nil"/>
              <w:right w:val="nil"/>
            </w:tcBorders>
            <w:shd w:val="clear" w:color="auto" w:fill="auto"/>
            <w:noWrap w:val="0"/>
            <w:tcMar>
              <w:top w:w="-1" w:type="dxa"/>
              <w:left w:w="-1" w:type="dxa"/>
              <w:bottom w:w="-1" w:type="dxa"/>
              <w:right w:w="-1" w:type="dxa"/>
            </w:tcMar>
            <w:vAlign w:val="center"/>
          </w:tcPr>
          <w:p w14:paraId="1D695CD2">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726.34</w:t>
            </w:r>
          </w:p>
        </w:tc>
        <w:tc>
          <w:tcPr>
            <w:tcW w:w="1587" w:type="dxa"/>
            <w:tcBorders>
              <w:top w:val="nil"/>
              <w:left w:val="nil"/>
              <w:bottom w:val="nil"/>
              <w:right w:val="nil"/>
            </w:tcBorders>
            <w:shd w:val="clear" w:color="auto" w:fill="auto"/>
            <w:noWrap w:val="0"/>
            <w:tcMar>
              <w:top w:w="-1" w:type="dxa"/>
              <w:left w:w="-1" w:type="dxa"/>
              <w:bottom w:w="-1" w:type="dxa"/>
              <w:right w:w="-1" w:type="dxa"/>
            </w:tcMar>
            <w:vAlign w:val="center"/>
          </w:tcPr>
          <w:p w14:paraId="13E0C905">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25.84</w:t>
            </w:r>
          </w:p>
        </w:tc>
        <w:tc>
          <w:tcPr>
            <w:tcW w:w="1587" w:type="dxa"/>
            <w:tcBorders>
              <w:top w:val="nil"/>
              <w:left w:val="nil"/>
              <w:bottom w:val="nil"/>
              <w:right w:val="nil"/>
            </w:tcBorders>
            <w:shd w:val="clear" w:color="auto" w:fill="auto"/>
            <w:noWrap w:val="0"/>
            <w:tcMar>
              <w:top w:w="-1" w:type="dxa"/>
              <w:left w:w="-1" w:type="dxa"/>
              <w:bottom w:w="-1" w:type="dxa"/>
              <w:right w:w="-1" w:type="dxa"/>
            </w:tcMar>
            <w:vAlign w:val="center"/>
          </w:tcPr>
          <w:p w14:paraId="29FBD689">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3.44</w:t>
            </w:r>
          </w:p>
        </w:tc>
      </w:tr>
      <w:tr w14:paraId="2516D153">
        <w:tblPrEx>
          <w:tblW w:w="8276" w:type="dxa"/>
          <w:jc w:val="center"/>
          <w:tblCellMar>
            <w:top w:w="0" w:type="dxa"/>
            <w:left w:w="108" w:type="dxa"/>
            <w:bottom w:w="0" w:type="dxa"/>
            <w:right w:w="108" w:type="dxa"/>
          </w:tblCellMar>
        </w:tblPrEx>
        <w:trPr>
          <w:trHeight w:hRule="auto" w:val="0"/>
          <w:jc w:val="center"/>
        </w:trPr>
        <w:tc>
          <w:tcPr>
            <w:tcW w:w="1928" w:type="dxa"/>
            <w:tcBorders>
              <w:top w:val="nil"/>
              <w:left w:val="nil"/>
              <w:bottom w:val="single" w:sz="12" w:space="0" w:color="auto"/>
              <w:right w:val="nil"/>
            </w:tcBorders>
            <w:shd w:val="clear" w:color="auto" w:fill="auto"/>
            <w:noWrap w:val="0"/>
            <w:tcMar>
              <w:top w:w="-1" w:type="dxa"/>
              <w:left w:w="-1" w:type="dxa"/>
              <w:bottom w:w="-1" w:type="dxa"/>
              <w:right w:w="-1" w:type="dxa"/>
            </w:tcMar>
            <w:vAlign w:val="center"/>
          </w:tcPr>
          <w:p w14:paraId="49F09717">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设备安装工程</w:t>
            </w:r>
          </w:p>
        </w:tc>
        <w:tc>
          <w:tcPr>
            <w:tcW w:w="1587" w:type="dxa"/>
            <w:tcBorders>
              <w:top w:val="nil"/>
              <w:left w:val="nil"/>
              <w:bottom w:val="single" w:sz="12" w:space="0" w:color="auto"/>
              <w:right w:val="nil"/>
            </w:tcBorders>
            <w:shd w:val="clear" w:color="auto" w:fill="auto"/>
            <w:noWrap w:val="0"/>
            <w:tcMar>
              <w:top w:w="-1" w:type="dxa"/>
              <w:left w:w="-1" w:type="dxa"/>
              <w:bottom w:w="-1" w:type="dxa"/>
              <w:right w:w="-1" w:type="dxa"/>
            </w:tcMar>
            <w:vAlign w:val="center"/>
          </w:tcPr>
          <w:p w14:paraId="2C0E919A">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628.45</w:t>
            </w:r>
          </w:p>
        </w:tc>
        <w:tc>
          <w:tcPr>
            <w:tcW w:w="1587" w:type="dxa"/>
            <w:tcBorders>
              <w:top w:val="nil"/>
              <w:left w:val="nil"/>
              <w:bottom w:val="single" w:sz="12" w:space="0" w:color="auto"/>
              <w:right w:val="nil"/>
            </w:tcBorders>
            <w:shd w:val="clear" w:color="auto" w:fill="auto"/>
            <w:noWrap w:val="0"/>
            <w:tcMar>
              <w:top w:w="-1" w:type="dxa"/>
              <w:left w:w="-1" w:type="dxa"/>
              <w:bottom w:w="-1" w:type="dxa"/>
              <w:right w:w="-1" w:type="dxa"/>
            </w:tcMar>
            <w:vAlign w:val="center"/>
          </w:tcPr>
          <w:p w14:paraId="5F23C103">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609.22</w:t>
            </w:r>
          </w:p>
        </w:tc>
        <w:tc>
          <w:tcPr>
            <w:tcW w:w="1587" w:type="dxa"/>
            <w:tcBorders>
              <w:top w:val="nil"/>
              <w:left w:val="nil"/>
              <w:bottom w:val="single" w:sz="12" w:space="0" w:color="auto"/>
              <w:right w:val="nil"/>
            </w:tcBorders>
            <w:shd w:val="clear" w:color="auto" w:fill="auto"/>
            <w:noWrap w:val="0"/>
            <w:tcMar>
              <w:top w:w="-1" w:type="dxa"/>
              <w:left w:w="-1" w:type="dxa"/>
              <w:bottom w:w="-1" w:type="dxa"/>
              <w:right w:w="-1" w:type="dxa"/>
            </w:tcMar>
            <w:vAlign w:val="center"/>
          </w:tcPr>
          <w:p w14:paraId="16AAE621">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19.23</w:t>
            </w:r>
          </w:p>
        </w:tc>
        <w:tc>
          <w:tcPr>
            <w:tcW w:w="1587" w:type="dxa"/>
            <w:tcBorders>
              <w:top w:val="nil"/>
              <w:left w:val="nil"/>
              <w:bottom w:val="single" w:sz="12" w:space="0" w:color="auto"/>
              <w:right w:val="nil"/>
            </w:tcBorders>
            <w:shd w:val="clear" w:color="auto" w:fill="auto"/>
            <w:noWrap w:val="0"/>
            <w:tcMar>
              <w:top w:w="-1" w:type="dxa"/>
              <w:left w:w="-1" w:type="dxa"/>
              <w:bottom w:w="-1" w:type="dxa"/>
              <w:right w:w="-1" w:type="dxa"/>
            </w:tcMar>
            <w:vAlign w:val="center"/>
          </w:tcPr>
          <w:p w14:paraId="2E98BD3B">
            <w:pPr>
              <w:keepNext w:val="0"/>
              <w:keepLines w:val="0"/>
              <w:pageBreakBefore w:val="0"/>
              <w:widowControl w:val="0"/>
              <w:kinsoku/>
              <w:wordWrap/>
              <w:overflowPunct/>
              <w:topLinePunct w:val="0"/>
              <w:autoSpaceDE/>
              <w:autoSpaceDN/>
              <w:bidi w:val="0"/>
              <w:adjustRightInd/>
              <w:snapToGrid w:val="0"/>
              <w:spacing w:line="240" w:lineRule="auto"/>
              <w:ind w:left="0" w:right="0" w:firstLine="0" w:leftChars="0" w:rightChars="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3.06</w:t>
            </w:r>
          </w:p>
        </w:tc>
      </w:tr>
    </w:tbl>
    <w:p w14:paraId="4A5B68F2">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ascii="Times New Roman" w:eastAsia="宋体" w:hAnsi="Times New Roman" w:cs="Times New Roman" w:hint="default"/>
          <w:b w:val="0"/>
          <w:bCs w:val="0"/>
          <w:sz w:val="21"/>
          <w:szCs w:val="21"/>
        </w:rPr>
      </w:pPr>
    </w:p>
    <w:p w14:paraId="2D29B455">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ascii="Times New Roman" w:eastAsia="宋体" w:hAnsi="Times New Roman" w:cs="Times New Roman" w:hint="default"/>
          <w:b/>
          <w:bCs/>
          <w:sz w:val="21"/>
          <w:szCs w:val="21"/>
        </w:rPr>
      </w:pPr>
      <w:bookmarkStart w:id="20" w:name="heading_20"/>
      <w:r>
        <w:rPr>
          <w:rFonts w:ascii="Times New Roman" w:eastAsia="宋体" w:hAnsi="Times New Roman" w:cs="Times New Roman" w:hint="default"/>
          <w:b/>
          <w:bCs/>
          <w:sz w:val="21"/>
          <w:szCs w:val="21"/>
        </w:rPr>
        <w:t>4.3案例管控经验总结</w:t>
      </w:r>
      <w:bookmarkEnd w:id="20"/>
    </w:p>
    <w:p w14:paraId="21CBDFB6">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根据本次工程案例实践可知，电力工程施工阶段造价管理的进阶优化主要表现在打破传统静态、单一、经验化的管控局限上，用逻辑升级、框架搭建、路径落实来达到造价管控的系统化、精准化、数字化升级的目的。从实践结果可以看出，全过程闭环控制可以有效避免过程性控制的漏洞，全要素量化控制可以准确地降低各种可控的成本，多主体协同可以提高管控的规范性，数字化动态监测可以提前预测造价风险。本项目管控经验可以给同类型电力基建项目提供借鉴，复制推广进阶管控模式，能持续提高电力工程施工造价控制整体水平和效益。</w:t>
      </w:r>
    </w:p>
    <w:p w14:paraId="2336ED99">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0"/>
        <w:rPr>
          <w:rFonts w:ascii="Times New Roman" w:eastAsia="宋体" w:hAnsi="Times New Roman" w:cs="Times New Roman" w:hint="default"/>
          <w:b/>
          <w:bCs/>
          <w:sz w:val="21"/>
          <w:szCs w:val="21"/>
        </w:rPr>
      </w:pPr>
      <w:bookmarkStart w:id="21" w:name="heading_21"/>
      <w:r>
        <w:rPr>
          <w:rFonts w:ascii="Times New Roman" w:eastAsia="宋体" w:hAnsi="Times New Roman" w:cs="Times New Roman" w:hint="eastAsia"/>
          <w:b/>
          <w:bCs/>
          <w:sz w:val="21"/>
          <w:szCs w:val="21"/>
          <w:lang w:val="en-US" w:eastAsia="zh-CN"/>
        </w:rPr>
        <w:t>5</w:t>
      </w:r>
      <w:r>
        <w:rPr>
          <w:rFonts w:ascii="Times New Roman" w:eastAsia="宋体" w:hAnsi="Times New Roman" w:cs="Times New Roman" w:hint="default"/>
          <w:b/>
          <w:bCs/>
          <w:sz w:val="21"/>
          <w:szCs w:val="21"/>
        </w:rPr>
        <w:t>结语</w:t>
      </w:r>
      <w:bookmarkEnd w:id="21"/>
    </w:p>
    <w:p w14:paraId="4FEEF92A">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综上所述，电力工程施工阶段造价管理属于一项系统性的、动态性的长期工作，符合新型电力系统建设的要求，推进造价管理模式的迭代升级，是提高电力基建投资效益、改善资源配置的重要途径。未来电力工程造价管理可以依靠人工智能、数字孪生这些新的技术手段，不断加深数字化管控的深度，健全动态造价预警以及智能决策体系，促使电力施工造价管理朝着标准化、智能化、精益化方向持续前进。</w:t>
      </w:r>
    </w:p>
    <w:p w14:paraId="2E537B28">
      <w:bookmarkStart w:id="22" w:name="_GoBack"/>
      <w:bookmarkEnd w:id="22"/>
    </w:p>
    <w:sectPr>
      <w:headerReference w:type="default" r:id="rId4"/>
      <w:footerReference w:type="default" r:id="rId5"/>
      <w:pgSz w:w="11905" w:h="16840"/>
      <w:pgMar w:header="720" w:footer="720"/>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auto"/>
    <w:pitch w:val="default"/>
    <w:sig w:usb0="E00006FF" w:usb1="420024FF" w:usb2="02000000" w:usb3="00000000" w:csb0="2000019F"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7384DF4C"/>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3714DD9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compat>
    <w:useFELayout/>
    <w:splitPgBreakAndParaMark/>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98C7C22"/>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sz w:val="21"/>
      <w:szCs w:val="2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Pages>5</Pages>
  <Words>2913</Words>
  <Characters>2965</Characters>
  <Application>Microsoft Office Word</Application>
  <DocSecurity>0</DocSecurity>
  <Lines>0</Lines>
  <Paragraphs>0</Paragraphs>
  <ScaleCrop>false</ScaleCrop>
  <Company/>
  <LinksUpToDate>false</LinksUpToDate>
  <CharactersWithSpaces>2976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Resurgam</cp:lastModifiedBy>
  <cp:revision>0</cp:revision>
  <dcterms:created xsi:type="dcterms:W3CDTF">2026-08-05T03:35:00Z</dcterms:created>
  <dcterms:modified xsi:type="dcterms:W3CDTF">2026-08-05T03:47:43Z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{"Label":"1","ContentProducer":"001191110102MACQD9K64010000","ProduceID":"7670386038170536933","ReservedCode1":"","ContentPropagator":"","PropagateID":"","ReservedCode2":""}</vt:lpwstr>
  </property>
  <property fmtid="{D5CDD505-2E9C-101B-9397-08002B2CF9AE}" pid="3" name="ICV">
    <vt:lpwstr>10F7CFF214DC46389C73B8638661C8EF_12</vt:lpwstr>
  </property>
  <property fmtid="{D5CDD505-2E9C-101B-9397-08002B2CF9AE}" pid="4" name="KSOProductBuildVer">
    <vt:lpwstr>2052-12.1.0.26895</vt:lpwstr>
  </property>
  <property fmtid="{D5CDD505-2E9C-101B-9397-08002B2CF9AE}" pid="5" name="KSOTemplateDocerSaveRecord">
    <vt:lpwstr>eyJoZGlkIjoiYTk3YmY3NWQ0YmNmZGVmMTdjYzMzOTgyZjgzMDQwZTkiLCJ1c2VySWQiOiIyNDYyMTY4NzMifQ==</vt:lpwstr>
  </property>
</Properties>
</file>