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3C3C5E4D">
      <w:pPr>
        <w:pStyle w:val="Heading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rPr>
          <w:rFonts w:ascii="Times New Roman" w:eastAsia="宋体" w:hAnsi="Times New Roman" w:cs="Times New Roman" w:hint="default"/>
          <w:b w:val="0"/>
          <w:bCs w:val="0"/>
          <w:sz w:val="24"/>
          <w:szCs w:val="24"/>
        </w:rPr>
      </w:pPr>
      <w:r>
        <w:rPr>
          <w:rFonts w:ascii="Times New Roman" w:eastAsia="宋体" w:hAnsi="Times New Roman" w:cs="Times New Roman" w:hint="default"/>
          <w:b w:val="0"/>
          <w:bCs w:val="0"/>
          <w:kern w:val="0"/>
          <w:sz w:val="24"/>
          <w:szCs w:val="24"/>
          <w:lang w:val="en-US" w:eastAsia="zh-CN" w:bidi="ar"/>
        </w:rPr>
        <w:t>智能检修机器人凭借高精度感知、全天候作业、数据可追溯等优势，逐渐成为地铁车辆检修领域的研究热点与发展方向，故障识别技术作为智能检修机器人的核心能力，其识别精度与可靠性直接决定了机器人系统的实用价值。</w:t>
      </w:r>
    </w:p>
    <w:p w14:paraId="51D94673">
      <w:pPr>
        <w:pStyle w:val="Heading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rPr>
          <w:rFonts w:ascii="Times New Roman" w:eastAsia="宋体" w:hAnsi="Times New Roman" w:cs="Times New Roman" w:hint="default"/>
          <w:b/>
          <w:bCs/>
          <w:sz w:val="24"/>
          <w:szCs w:val="24"/>
        </w:rPr>
      </w:pPr>
      <w:r>
        <w:rPr>
          <w:rFonts w:ascii="Times New Roman" w:eastAsia="宋体" w:hAnsi="Times New Roman" w:cs="Times New Roman" w:hint="default"/>
          <w:b/>
          <w:bCs/>
          <w:sz w:val="24"/>
          <w:szCs w:val="24"/>
        </w:rPr>
        <w:t>1地铁车辆智能检修作业内容</w:t>
      </w:r>
    </w:p>
    <w:p w14:paraId="3EE97806">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bCs/>
          <w:sz w:val="24"/>
          <w:szCs w:val="24"/>
        </w:rPr>
      </w:pPr>
      <w:r>
        <w:rPr>
          <w:rFonts w:ascii="Times New Roman" w:eastAsia="宋体" w:hAnsi="Times New Roman" w:cs="Times New Roman" w:hint="default"/>
          <w:b/>
          <w:bCs/>
          <w:sz w:val="24"/>
          <w:szCs w:val="24"/>
        </w:rPr>
        <w:t>1.1车体外观状态巡检作业</w:t>
      </w:r>
    </w:p>
    <w:p w14:paraId="188B7C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color w:val="0000FF"/>
          <w:sz w:val="24"/>
          <w:szCs w:val="24"/>
        </w:rPr>
      </w:pPr>
      <w:r>
        <w:rPr>
          <w:rFonts w:ascii="Times New Roman" w:eastAsia="宋体" w:hAnsi="Times New Roman" w:cs="Times New Roman" w:hint="default"/>
          <w:b w:val="0"/>
          <w:bCs w:val="0"/>
          <w:color w:val="0000FF"/>
          <w:kern w:val="0"/>
          <w:sz w:val="24"/>
          <w:szCs w:val="24"/>
          <w:lang w:val="en-US" w:eastAsia="zh-CN" w:bidi="ar"/>
        </w:rPr>
        <w:t>地铁车辆车体是承载乘客和设备的重要结构，车体外观状况直接影响到整个车辆的健康状况，是日常检修工作不可缺少的基础部分。智能检修机器人采用高清工业相机和三维轮廓传感器，沿着预先设定好的轨道对车体侧面、端面和车顶进行全方位扫描成像，可以自动识别出车体表面的划伤、凹陷、锈蚀、涂层剥落等表观缺陷，检测精度可以达到0.3毫米级</w:t>
      </w:r>
      <w:r>
        <w:rPr>
          <w:rFonts w:ascii="Times New Roman" w:eastAsia="宋体" w:hAnsi="Times New Roman" w:cs="Times New Roman" w:hint="eastAsia"/>
          <w:b w:val="0"/>
          <w:bCs w:val="0"/>
          <w:color w:val="0000FF"/>
          <w:kern w:val="0"/>
          <w:sz w:val="24"/>
          <w:szCs w:val="24"/>
          <w:vertAlign w:val="superscript"/>
          <w:lang w:val="en-US" w:eastAsia="zh-CN" w:bidi="ar"/>
        </w:rPr>
        <w:t>[1]</w:t>
      </w:r>
      <w:r>
        <w:rPr>
          <w:rFonts w:ascii="Times New Roman" w:eastAsia="宋体" w:hAnsi="Times New Roman" w:cs="Times New Roman" w:hint="default"/>
          <w:b w:val="0"/>
          <w:bCs w:val="0"/>
          <w:color w:val="0000FF"/>
          <w:kern w:val="0"/>
          <w:sz w:val="24"/>
          <w:szCs w:val="24"/>
          <w:lang w:val="en-US" w:eastAsia="zh-CN" w:bidi="ar"/>
        </w:rPr>
        <w:t>。</w:t>
      </w:r>
    </w:p>
    <w:p w14:paraId="4300F9C1">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bCs/>
          <w:sz w:val="24"/>
          <w:szCs w:val="24"/>
        </w:rPr>
      </w:pPr>
      <w:r>
        <w:rPr>
          <w:rFonts w:ascii="Times New Roman" w:eastAsia="宋体" w:hAnsi="Times New Roman" w:cs="Times New Roman" w:hint="default"/>
          <w:b/>
          <w:bCs/>
          <w:sz w:val="24"/>
          <w:szCs w:val="24"/>
        </w:rPr>
        <w:t>1.2转向架部件状态检测</w:t>
      </w:r>
    </w:p>
    <w:p w14:paraId="6B0A16B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sz w:val="24"/>
          <w:szCs w:val="24"/>
        </w:rPr>
      </w:pPr>
      <w:r>
        <w:rPr>
          <w:rFonts w:ascii="Times New Roman" w:eastAsia="宋体" w:hAnsi="Times New Roman" w:cs="Times New Roman" w:hint="default"/>
          <w:b w:val="0"/>
          <w:bCs w:val="0"/>
          <w:color w:val="0000FF"/>
          <w:kern w:val="0"/>
          <w:sz w:val="24"/>
          <w:szCs w:val="24"/>
          <w:lang w:val="en-US" w:eastAsia="zh-CN" w:bidi="ar"/>
        </w:rPr>
        <w:t>智能检修机器人用多自由度柔性机械臂装上视觉检测模块，深入到转向架内部的狭小空间里，对构架、轮对、轴箱、弹簧悬挂装置、制动系统等重要零部件实施细致的成像检测工作，可以识别出螺栓松动、防松标记错位、焊缝裂纹、橡胶件老化开裂等各种故障种类，激光位移传感器还能对轮对踏面磨耗、轮缘厚度等重要尺寸</w:t>
      </w:r>
      <w:r>
        <w:rPr>
          <w:rFonts w:ascii="Times New Roman" w:eastAsia="宋体" w:hAnsi="Times New Roman" w:cs="Times New Roman" w:hint="default"/>
          <w:b w:val="0"/>
          <w:bCs w:val="0"/>
          <w:kern w:val="0"/>
          <w:sz w:val="24"/>
          <w:szCs w:val="24"/>
          <w:lang w:val="en-US" w:eastAsia="zh-CN" w:bidi="ar"/>
        </w:rPr>
        <w:t>实施非接触式的测量，测量精度保持在±0</w:t>
      </w:r>
      <w:r>
        <w:rPr>
          <w:rFonts w:ascii="Times New Roman" w:eastAsia="宋体" w:hAnsi="Times New Roman" w:cs="Times New Roman" w:hint="eastAsia"/>
          <w:b w:val="0"/>
          <w:bCs w:val="0"/>
          <w:kern w:val="0"/>
          <w:sz w:val="24"/>
          <w:szCs w:val="24"/>
          <w:lang w:val="en-US" w:eastAsia="zh-CN" w:bidi="ar"/>
        </w:rPr>
        <w:t>.1m</w:t>
      </w:r>
      <w:r>
        <w:rPr>
          <w:rFonts w:ascii="Times New Roman" w:eastAsia="宋体" w:hAnsi="Times New Roman" w:cs="Times New Roman" w:hint="default"/>
          <w:b w:val="0"/>
          <w:bCs w:val="0"/>
          <w:kern w:val="0"/>
          <w:sz w:val="24"/>
          <w:szCs w:val="24"/>
          <w:lang w:val="en-US" w:eastAsia="zh-CN" w:bidi="ar"/>
        </w:rPr>
        <w:t>m之内。</w:t>
      </w:r>
    </w:p>
    <w:p w14:paraId="41055121">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bCs/>
          <w:sz w:val="24"/>
          <w:szCs w:val="24"/>
        </w:rPr>
      </w:pPr>
      <w:r>
        <w:rPr>
          <w:rFonts w:ascii="Times New Roman" w:eastAsia="宋体" w:hAnsi="Times New Roman" w:cs="Times New Roman" w:hint="default"/>
          <w:b/>
          <w:bCs/>
          <w:sz w:val="24"/>
          <w:szCs w:val="24"/>
        </w:rPr>
        <w:t>1.3车底走行部缺陷识别</w:t>
      </w:r>
    </w:p>
    <w:p w14:paraId="795137D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color w:val="0000FF"/>
          <w:kern w:val="0"/>
          <w:sz w:val="24"/>
          <w:szCs w:val="24"/>
          <w:lang w:val="en-US" w:eastAsia="zh-CN" w:bidi="ar"/>
        </w:rPr>
      </w:pPr>
      <w:r>
        <w:rPr>
          <w:rFonts w:ascii="Times New Roman" w:eastAsia="宋体" w:hAnsi="Times New Roman" w:cs="Times New Roman" w:hint="default"/>
          <w:b w:val="0"/>
          <w:bCs w:val="0"/>
          <w:color w:val="0000FF"/>
          <w:kern w:val="0"/>
          <w:sz w:val="24"/>
          <w:szCs w:val="24"/>
          <w:lang w:val="en-US" w:eastAsia="zh-CN" w:bidi="ar"/>
        </w:rPr>
        <w:t>机器人系统沿轨道间巡检通道自动行走，用升降平台和多轴机械臂对车底设备舱、牵引电机、齿轮箱、制动管路、电缆桥架等部位做全方位成像，可以发现油污渗漏、管线破损、紧固件丢失、异物侵入等常见故障。机器人还配有红外热成像仪和声学传感器，对旋转部件的温度分布以及振动噪声特征实施同步采集，借助温度场异常剖析并联声纹特征比对来提前预知可能存在的故障隐患</w:t>
      </w:r>
      <w:r>
        <w:rPr>
          <w:rFonts w:ascii="Times New Roman" w:eastAsia="宋体" w:hAnsi="Times New Roman" w:cs="Times New Roman" w:hint="eastAsia"/>
          <w:b w:val="0"/>
          <w:bCs w:val="0"/>
          <w:color w:val="0000FF"/>
          <w:kern w:val="0"/>
          <w:sz w:val="24"/>
          <w:szCs w:val="24"/>
          <w:lang w:val="en-US" w:eastAsia="zh-CN" w:bidi="ar"/>
        </w:rPr>
        <w:t>。</w:t>
      </w:r>
      <w:r>
        <w:rPr>
          <w:rFonts w:ascii="Times New Roman" w:eastAsia="宋体" w:hAnsi="Times New Roman" w:cs="Times New Roman" w:hint="default"/>
          <w:color w:val="0000FF"/>
          <w:sz w:val="24"/>
          <w:szCs w:val="24"/>
        </w:rPr>
        <w:t>车底吹扫设备</w:t>
      </w:r>
      <w:r>
        <w:rPr>
          <w:rFonts w:ascii="Times New Roman" w:eastAsia="宋体" w:hAnsi="Times New Roman" w:cs="Times New Roman" w:hint="default"/>
          <w:b w:val="0"/>
          <w:bCs w:val="0"/>
          <w:color w:val="0000FF"/>
          <w:kern w:val="0"/>
          <w:sz w:val="24"/>
          <w:szCs w:val="24"/>
          <w:lang w:val="en-US" w:eastAsia="zh-CN" w:bidi="ar"/>
        </w:rPr>
        <w:t>结构如图1所示。</w:t>
      </w:r>
    </w:p>
    <w:p w14:paraId="714B4EED">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bCs/>
          <w:sz w:val="24"/>
          <w:szCs w:val="24"/>
        </w:rPr>
      </w:pPr>
      <w:r>
        <w:rPr>
          <w:rFonts w:ascii="Times New Roman" w:eastAsia="宋体" w:hAnsi="Times New Roman" w:cs="Times New Roman" w:hint="default"/>
          <w:b/>
          <w:bCs/>
          <w:sz w:val="24"/>
          <w:szCs w:val="24"/>
        </w:rPr>
        <w:t>3.2故障识别技术实现</w:t>
      </w:r>
    </w:p>
    <w:p w14:paraId="7B30CE7E">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sz w:val="24"/>
          <w:szCs w:val="24"/>
        </w:rPr>
      </w:pPr>
      <w:r>
        <w:rPr>
          <w:rFonts w:ascii="Times New Roman" w:eastAsia="宋体" w:hAnsi="Times New Roman" w:cs="Times New Roman" w:hint="default"/>
          <w:b w:val="0"/>
          <w:bCs w:val="0"/>
          <w:sz w:val="24"/>
          <w:szCs w:val="24"/>
        </w:rPr>
        <w:t>3.2.1深度学习图像识别算法</w:t>
      </w:r>
    </w:p>
    <w:p w14:paraId="43858E5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color w:val="0000FF"/>
          <w:sz w:val="24"/>
          <w:szCs w:val="24"/>
        </w:rPr>
      </w:pPr>
      <w:r>
        <w:rPr>
          <w:rFonts w:ascii="Times New Roman" w:eastAsia="宋体" w:hAnsi="Times New Roman" w:cs="Times New Roman" w:hint="default"/>
          <w:b w:val="0"/>
          <w:bCs w:val="0"/>
          <w:color w:val="0000FF"/>
          <w:kern w:val="0"/>
          <w:sz w:val="24"/>
          <w:szCs w:val="24"/>
          <w:lang w:val="en-US" w:eastAsia="zh-CN" w:bidi="ar"/>
        </w:rPr>
        <w:t>算法模型训练需要大量的标注样本数据支持，一般采用人工标注和数据增强相结合的方式扩充数据集，用旋转、缩放、亮度调节、噪声添加等方式提高模型的鲁棒性和泛化能力，对于小目标缺陷和微小裂纹的检测可以使用特征金字塔网络以及注意力机制来增强网络对于细微特征的感知能力。</w:t>
      </w:r>
    </w:p>
    <w:p w14:paraId="44933E26">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sz w:val="24"/>
          <w:szCs w:val="24"/>
        </w:rPr>
      </w:pPr>
      <w:r>
        <w:rPr>
          <w:rFonts w:ascii="Times New Roman" w:eastAsia="宋体" w:hAnsi="Times New Roman" w:cs="Times New Roman" w:hint="default"/>
          <w:b w:val="0"/>
          <w:bCs w:val="0"/>
          <w:sz w:val="24"/>
          <w:szCs w:val="24"/>
        </w:rPr>
        <w:t>3.2.2多传感器融合检测方案</w:t>
      </w:r>
    </w:p>
    <w:p w14:paraId="5792BD7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color w:val="0000FF"/>
          <w:kern w:val="0"/>
          <w:sz w:val="24"/>
          <w:szCs w:val="24"/>
          <w:lang w:val="en-US" w:eastAsia="zh-CN" w:bidi="ar"/>
        </w:rPr>
      </w:pPr>
      <w:r>
        <w:rPr>
          <w:rFonts w:ascii="Times New Roman" w:eastAsia="宋体" w:hAnsi="Times New Roman" w:cs="Times New Roman" w:hint="default"/>
          <w:b w:val="0"/>
          <w:bCs w:val="0"/>
          <w:color w:val="0000FF"/>
          <w:kern w:val="0"/>
          <w:sz w:val="24"/>
          <w:szCs w:val="24"/>
          <w:lang w:val="en-US" w:eastAsia="zh-CN" w:bidi="ar"/>
        </w:rPr>
        <w:t>常见的融合方案有视觉和红外热成像融合、视觉和激光测量融合、视觉和声学检测融合等，其中视觉和红外热成像的融合方案使用最多，可见光图像给出部件的外观形态和位置信息，红外热像图给出温度分布数据，两者经由图像配准技术进行空间对齐之后可以同时得到部件的外观状态和热特性，对于电气连接点过热、轴承温升异常等故障能够在定位故障位置的时候获取温度数据。</w:t>
      </w:r>
    </w:p>
    <w:p w14:paraId="22EAB51B">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sz w:val="24"/>
          <w:szCs w:val="24"/>
        </w:rPr>
      </w:pPr>
      <w:r>
        <w:rPr>
          <w:rFonts w:ascii="Times New Roman" w:eastAsia="宋体" w:hAnsi="Times New Roman" w:cs="Times New Roman" w:hint="default"/>
          <w:b w:val="0"/>
          <w:bCs w:val="0"/>
          <w:sz w:val="24"/>
          <w:szCs w:val="24"/>
        </w:rPr>
        <w:t>3.2.3三维轮廓测量技术应用</w:t>
      </w:r>
    </w:p>
    <w:p w14:paraId="2030300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color w:val="0000FF"/>
          <w:kern w:val="0"/>
          <w:sz w:val="24"/>
          <w:szCs w:val="24"/>
          <w:lang w:val="en-US" w:eastAsia="zh-CN" w:bidi="ar"/>
        </w:rPr>
      </w:pPr>
      <w:r>
        <w:rPr>
          <w:rFonts w:ascii="Times New Roman" w:eastAsia="宋体" w:hAnsi="Times New Roman" w:cs="Times New Roman" w:hint="default"/>
          <w:b w:val="0"/>
          <w:bCs w:val="0"/>
          <w:color w:val="0000FF"/>
          <w:kern w:val="0"/>
          <w:sz w:val="24"/>
          <w:szCs w:val="24"/>
          <w:lang w:val="en-US" w:eastAsia="zh-CN" w:bidi="ar"/>
        </w:rPr>
        <w:t>目前常用的三维测量方法有线激光三角测量法、结构光扫描法、双目立体视觉法等，其中线激光三角测量法由于精度高、速度快、抗干扰能力强等特点，在地铁车辆检修中使用最多，测量精度可达0.0</w:t>
      </w:r>
      <w:r>
        <w:rPr>
          <w:rFonts w:ascii="Times New Roman" w:eastAsia="宋体" w:hAnsi="Times New Roman" w:cs="Times New Roman" w:hint="eastAsia"/>
          <w:b w:val="0"/>
          <w:bCs w:val="0"/>
          <w:color w:val="0000FF"/>
          <w:kern w:val="0"/>
          <w:sz w:val="24"/>
          <w:szCs w:val="24"/>
          <w:lang w:val="en-US" w:eastAsia="zh-CN" w:bidi="ar"/>
        </w:rPr>
        <w:t>5</w:t>
      </w:r>
      <w:r>
        <w:rPr>
          <w:rFonts w:ascii="Times New Roman" w:eastAsia="宋体" w:hAnsi="Times New Roman" w:cs="Times New Roman" w:hint="default"/>
          <w:b w:val="0"/>
          <w:bCs w:val="0"/>
          <w:color w:val="0000FF"/>
          <w:kern w:val="0"/>
          <w:sz w:val="24"/>
          <w:szCs w:val="24"/>
          <w:lang w:val="en-US" w:eastAsia="zh-CN" w:bidi="ar"/>
        </w:rPr>
        <w:t>～0.</w:t>
      </w:r>
      <w:r>
        <w:rPr>
          <w:rFonts w:ascii="Times New Roman" w:eastAsia="宋体" w:hAnsi="Times New Roman" w:cs="Times New Roman" w:hint="eastAsia"/>
          <w:b w:val="0"/>
          <w:bCs w:val="0"/>
          <w:color w:val="0000FF"/>
          <w:kern w:val="0"/>
          <w:sz w:val="24"/>
          <w:szCs w:val="24"/>
          <w:lang w:val="en-US" w:eastAsia="zh-CN" w:bidi="ar"/>
        </w:rPr>
        <w:t>1mm</w:t>
      </w:r>
      <w:r>
        <w:rPr>
          <w:rFonts w:ascii="Times New Roman" w:eastAsia="宋体" w:hAnsi="Times New Roman" w:cs="Times New Roman" w:hint="default"/>
          <w:b w:val="0"/>
          <w:bCs w:val="0"/>
          <w:color w:val="0000FF"/>
          <w:kern w:val="0"/>
          <w:sz w:val="24"/>
          <w:szCs w:val="24"/>
          <w:lang w:val="en-US" w:eastAsia="zh-CN" w:bidi="ar"/>
        </w:rPr>
        <w:t>，扫描速度可达每秒数万点，可以满足轮对踏面、构架外形、车钩轮廓等复杂曲面的高精度测量要求。轴承测量机设备结构如图3所示</w:t>
      </w:r>
      <w:r>
        <w:rPr>
          <w:rFonts w:ascii="Times New Roman" w:eastAsia="宋体" w:hAnsi="Times New Roman" w:cs="Times New Roman" w:hint="eastAsia"/>
          <w:b w:val="0"/>
          <w:bCs w:val="0"/>
          <w:color w:val="0000FF"/>
          <w:kern w:val="0"/>
          <w:sz w:val="24"/>
          <w:szCs w:val="24"/>
          <w:lang w:val="en-US" w:eastAsia="zh-CN" w:bidi="ar"/>
        </w:rPr>
        <w:t>。</w:t>
      </w:r>
    </w:p>
    <w:p w14:paraId="2F918F9B">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bCs/>
          <w:sz w:val="24"/>
          <w:szCs w:val="24"/>
        </w:rPr>
      </w:pPr>
      <w:bookmarkStart w:id="0" w:name="_GoBack"/>
      <w:bookmarkEnd w:id="0"/>
      <w:r>
        <w:rPr>
          <w:rFonts w:ascii="Times New Roman" w:eastAsia="宋体" w:hAnsi="Times New Roman" w:cs="Times New Roman" w:hint="default"/>
          <w:b/>
          <w:bCs/>
          <w:sz w:val="24"/>
          <w:szCs w:val="24"/>
        </w:rPr>
        <w:t>3.3应用效果数据分析</w:t>
      </w:r>
    </w:p>
    <w:p w14:paraId="5C566D4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color w:val="0000FF"/>
          <w:kern w:val="0"/>
          <w:sz w:val="24"/>
          <w:szCs w:val="24"/>
          <w:lang w:val="en-US" w:eastAsia="zh-CN" w:bidi="ar"/>
        </w:rPr>
      </w:pPr>
      <w:r>
        <w:rPr>
          <w:rFonts w:ascii="Times New Roman" w:eastAsia="宋体" w:hAnsi="Times New Roman" w:cs="Times New Roman" w:hint="default"/>
          <w:b w:val="0"/>
          <w:bCs w:val="0"/>
          <w:color w:val="0000FF"/>
          <w:kern w:val="0"/>
          <w:sz w:val="24"/>
          <w:szCs w:val="24"/>
          <w:lang w:val="en-US" w:eastAsia="zh-CN" w:bidi="ar"/>
        </w:rPr>
        <w:t>智能检修机器人在实际线路的应用效果可以借助多种量化指标来加以评判，与传统的手工检修模式相比，机器人系统在检测速度、识别准度以及数据处理能力等各方面都有着明显的优势。人工检修和智能检修机器人在一些主要性能指标上的比较数据如表1所示。</w:t>
      </w:r>
    </w:p>
    <w:p w14:paraId="7AEA68C1">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0" w:firstLineChars="0"/>
        <w:jc w:val="center"/>
        <w:textAlignment w:val="auto"/>
        <w:rPr>
          <w:rFonts w:ascii="Times New Roman" w:eastAsia="宋体" w:hAnsi="Times New Roman" w:cs="Times New Roman" w:hint="default"/>
          <w:b w:val="0"/>
          <w:bCs w:val="0"/>
          <w:sz w:val="24"/>
          <w:szCs w:val="24"/>
          <w:lang w:val="en-US" w:eastAsia="zh-CN"/>
        </w:rPr>
      </w:pPr>
      <w:r>
        <w:rPr>
          <w:rFonts w:ascii="Times New Roman" w:eastAsia="宋体" w:hAnsi="Times New Roman" w:cs="Times New Roman" w:hint="default"/>
          <w:b w:val="0"/>
          <w:bCs w:val="0"/>
          <w:sz w:val="24"/>
          <w:szCs w:val="24"/>
          <w:lang w:val="en-US" w:eastAsia="zh-CN"/>
        </w:rPr>
        <w:t>表1</w:t>
      </w:r>
      <w:r>
        <w:rPr>
          <w:rFonts w:ascii="Times New Roman" w:eastAsia="宋体" w:hAnsi="Times New Roman" w:cs="Times New Roman" w:hint="eastAsia"/>
          <w:b w:val="0"/>
          <w:bCs w:val="0"/>
          <w:sz w:val="24"/>
          <w:szCs w:val="24"/>
          <w:lang w:val="en-US" w:eastAsia="zh-CN"/>
        </w:rPr>
        <w:t xml:space="preserve"> </w:t>
      </w:r>
      <w:r>
        <w:rPr>
          <w:rFonts w:ascii="Times New Roman" w:eastAsia="宋体" w:hAnsi="Times New Roman" w:cs="Times New Roman" w:hint="default"/>
          <w:b w:val="0"/>
          <w:bCs w:val="0"/>
          <w:sz w:val="24"/>
          <w:szCs w:val="24"/>
          <w:lang w:val="en-US" w:eastAsia="zh-CN"/>
        </w:rPr>
        <w:t>人工检修与智能检修机器人性能对比</w:t>
      </w:r>
    </w:p>
    <w:tbl>
      <w:tblPr>
        <w:tblStyle w:val="TableGrid"/>
        <w:tblW w:w="8522"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
      <w:tblGrid>
        <w:gridCol w:w="2087"/>
        <w:gridCol w:w="1884"/>
        <w:gridCol w:w="2097"/>
        <w:gridCol w:w="2454"/>
      </w:tblGrid>
      <w:tr w14:paraId="1C260393">
        <w:tblPrEx>
          <w:tblW w:w="8522"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Ex>
        <w:trPr>
          <w:trHeight w:hRule="auto" w:val="0"/>
          <w:tblHeader/>
          <w:jc w:val="center"/>
        </w:trPr>
        <w:tc>
          <w:tcPr>
            <w:tcW w:w="2087" w:type="dxa"/>
            <w:tcBorders>
              <w:top w:val="single" w:sz="12" w:space="0" w:color="auto"/>
              <w:left w:val="nil"/>
              <w:bottom w:val="nil"/>
              <w:right w:val="nil"/>
            </w:tcBorders>
            <w:shd w:val="clear" w:color="auto" w:fill="F2F3F5"/>
            <w:noWrap w:val="0"/>
            <w:tcMar>
              <w:top w:w="-1" w:type="dxa"/>
              <w:left w:w="-1" w:type="dxa"/>
              <w:bottom w:w="-1" w:type="dxa"/>
              <w:right w:w="-1" w:type="dxa"/>
            </w:tcMar>
            <w:vAlign w:val="center"/>
          </w:tcPr>
          <w:p w14:paraId="3F4617D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0"/>
                <w:sz w:val="24"/>
                <w:szCs w:val="24"/>
                <w:lang w:val="en-US" w:eastAsia="zh-CN" w:bidi="ar"/>
              </w:rPr>
            </w:pPr>
            <w:r>
              <w:rPr>
                <w:rFonts w:ascii="Times New Roman" w:eastAsia="宋体" w:hAnsi="Times New Roman" w:cs="Times New Roman" w:hint="default"/>
                <w:b w:val="0"/>
                <w:bCs w:val="0"/>
                <w:kern w:val="0"/>
                <w:sz w:val="24"/>
                <w:szCs w:val="24"/>
                <w:lang w:val="en-US" w:eastAsia="zh-CN" w:bidi="ar"/>
              </w:rPr>
              <w:t>对比指标</w:t>
            </w:r>
          </w:p>
        </w:tc>
        <w:tc>
          <w:tcPr>
            <w:tcW w:w="1884" w:type="dxa"/>
            <w:tcBorders>
              <w:top w:val="single" w:sz="12" w:space="0" w:color="auto"/>
              <w:left w:val="nil"/>
              <w:bottom w:val="nil"/>
              <w:right w:val="nil"/>
            </w:tcBorders>
            <w:shd w:val="clear" w:color="auto" w:fill="F2F3F5"/>
            <w:noWrap w:val="0"/>
            <w:tcMar>
              <w:top w:w="-1" w:type="dxa"/>
              <w:left w:w="-1" w:type="dxa"/>
              <w:bottom w:w="-1" w:type="dxa"/>
              <w:right w:w="-1" w:type="dxa"/>
            </w:tcMar>
            <w:vAlign w:val="center"/>
          </w:tcPr>
          <w:p w14:paraId="6F1F889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0"/>
                <w:sz w:val="24"/>
                <w:szCs w:val="24"/>
                <w:lang w:val="en-US" w:eastAsia="zh-CN" w:bidi="ar"/>
              </w:rPr>
            </w:pPr>
            <w:r>
              <w:rPr>
                <w:rFonts w:ascii="Times New Roman" w:eastAsia="宋体" w:hAnsi="Times New Roman" w:cs="Times New Roman" w:hint="default"/>
                <w:b w:val="0"/>
                <w:bCs w:val="0"/>
                <w:kern w:val="0"/>
                <w:sz w:val="24"/>
                <w:szCs w:val="24"/>
                <w:lang w:val="en-US" w:eastAsia="zh-CN" w:bidi="ar"/>
              </w:rPr>
              <w:t>人工双人检修</w:t>
            </w:r>
          </w:p>
        </w:tc>
        <w:tc>
          <w:tcPr>
            <w:tcW w:w="2097" w:type="dxa"/>
            <w:tcBorders>
              <w:top w:val="single" w:sz="12" w:space="0" w:color="auto"/>
              <w:left w:val="nil"/>
              <w:bottom w:val="nil"/>
              <w:right w:val="nil"/>
            </w:tcBorders>
            <w:shd w:val="clear" w:color="auto" w:fill="F2F3F5"/>
            <w:noWrap w:val="0"/>
            <w:tcMar>
              <w:top w:w="-1" w:type="dxa"/>
              <w:left w:w="-1" w:type="dxa"/>
              <w:bottom w:w="-1" w:type="dxa"/>
              <w:right w:w="-1" w:type="dxa"/>
            </w:tcMar>
            <w:vAlign w:val="center"/>
          </w:tcPr>
          <w:p w14:paraId="069A424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0"/>
                <w:sz w:val="24"/>
                <w:szCs w:val="24"/>
                <w:lang w:val="en-US" w:eastAsia="zh-CN" w:bidi="ar"/>
              </w:rPr>
            </w:pPr>
            <w:r>
              <w:rPr>
                <w:rFonts w:ascii="Times New Roman" w:eastAsia="宋体" w:hAnsi="Times New Roman" w:cs="Times New Roman" w:hint="default"/>
                <w:b w:val="0"/>
                <w:bCs w:val="0"/>
                <w:kern w:val="0"/>
                <w:sz w:val="24"/>
                <w:szCs w:val="24"/>
                <w:lang w:val="en-US" w:eastAsia="zh-CN" w:bidi="ar"/>
              </w:rPr>
              <w:t>智能检修机器人</w:t>
            </w:r>
          </w:p>
        </w:tc>
        <w:tc>
          <w:tcPr>
            <w:tcW w:w="2454" w:type="dxa"/>
            <w:tcBorders>
              <w:top w:val="single" w:sz="12" w:space="0" w:color="auto"/>
              <w:left w:val="nil"/>
              <w:bottom w:val="nil"/>
              <w:right w:val="nil"/>
            </w:tcBorders>
            <w:shd w:val="clear" w:color="auto" w:fill="F2F3F5"/>
            <w:noWrap w:val="0"/>
            <w:tcMar>
              <w:top w:w="-1" w:type="dxa"/>
              <w:left w:w="-1" w:type="dxa"/>
              <w:bottom w:w="-1" w:type="dxa"/>
              <w:right w:w="-1" w:type="dxa"/>
            </w:tcMar>
            <w:vAlign w:val="center"/>
          </w:tcPr>
          <w:p w14:paraId="397E920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0"/>
                <w:sz w:val="24"/>
                <w:szCs w:val="24"/>
                <w:lang w:val="en-US" w:eastAsia="zh-CN" w:bidi="ar"/>
              </w:rPr>
            </w:pPr>
            <w:r>
              <w:rPr>
                <w:rFonts w:ascii="Times New Roman" w:eastAsia="宋体" w:hAnsi="Times New Roman" w:cs="Times New Roman" w:hint="default"/>
                <w:b w:val="0"/>
                <w:bCs w:val="0"/>
                <w:kern w:val="0"/>
                <w:sz w:val="24"/>
                <w:szCs w:val="24"/>
                <w:lang w:val="en-US" w:eastAsia="zh-CN" w:bidi="ar"/>
              </w:rPr>
              <w:t>变化情况</w:t>
            </w:r>
          </w:p>
        </w:tc>
      </w:tr>
      <w:tr w14:paraId="6DAF37AF">
        <w:tblPrEx>
          <w:tblW w:w="8522" w:type="dxa"/>
          <w:jc w:val="center"/>
          <w:tblCellMar>
            <w:top w:w="0" w:type="dxa"/>
            <w:left w:w="108" w:type="dxa"/>
            <w:bottom w:w="0" w:type="dxa"/>
            <w:right w:w="108" w:type="dxa"/>
          </w:tblCellMar>
        </w:tblPrEx>
        <w:trPr>
          <w:trHeight w:hRule="auto" w:val="0"/>
          <w:tblHeader/>
          <w:jc w:val="center"/>
        </w:trPr>
        <w:tc>
          <w:tcPr>
            <w:tcW w:w="2087"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431D2892">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单列检测时间</w:t>
            </w:r>
          </w:p>
        </w:tc>
        <w:tc>
          <w:tcPr>
            <w:tcW w:w="1884"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4B5BE7F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45-50分钟</w:t>
            </w:r>
          </w:p>
        </w:tc>
        <w:tc>
          <w:tcPr>
            <w:tcW w:w="2097"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633D5B80">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30-38分钟</w:t>
            </w:r>
          </w:p>
        </w:tc>
        <w:tc>
          <w:tcPr>
            <w:tcW w:w="2454"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5D1D70C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缩短约20%-30%</w:t>
            </w:r>
          </w:p>
        </w:tc>
      </w:tr>
      <w:tr w14:paraId="5F1A46ED">
        <w:tblPrEx>
          <w:tblW w:w="8522" w:type="dxa"/>
          <w:jc w:val="center"/>
          <w:tblCellMar>
            <w:top w:w="0" w:type="dxa"/>
            <w:left w:w="108" w:type="dxa"/>
            <w:bottom w:w="0" w:type="dxa"/>
            <w:right w:w="108" w:type="dxa"/>
          </w:tblCellMar>
        </w:tblPrEx>
        <w:trPr>
          <w:trHeight w:hRule="auto" w:val="0"/>
          <w:tblHeader/>
          <w:jc w:val="center"/>
        </w:trPr>
        <w:tc>
          <w:tcPr>
            <w:tcW w:w="2087" w:type="dxa"/>
            <w:tcBorders>
              <w:top w:val="nil"/>
              <w:left w:val="nil"/>
              <w:bottom w:val="nil"/>
              <w:right w:val="nil"/>
            </w:tcBorders>
            <w:shd w:val="clear" w:color="auto" w:fill="auto"/>
            <w:noWrap w:val="0"/>
            <w:tcMar>
              <w:top w:w="-1" w:type="dxa"/>
              <w:left w:w="-1" w:type="dxa"/>
              <w:bottom w:w="-1" w:type="dxa"/>
              <w:right w:w="-1" w:type="dxa"/>
            </w:tcMar>
            <w:vAlign w:val="center"/>
          </w:tcPr>
          <w:p w14:paraId="615E3EA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检测项点数量</w:t>
            </w:r>
          </w:p>
        </w:tc>
        <w:tc>
          <w:tcPr>
            <w:tcW w:w="1884" w:type="dxa"/>
            <w:tcBorders>
              <w:top w:val="nil"/>
              <w:left w:val="nil"/>
              <w:bottom w:val="nil"/>
              <w:right w:val="nil"/>
            </w:tcBorders>
            <w:shd w:val="clear" w:color="auto" w:fill="auto"/>
            <w:noWrap w:val="0"/>
            <w:tcMar>
              <w:top w:w="-1" w:type="dxa"/>
              <w:left w:w="-1" w:type="dxa"/>
              <w:bottom w:w="-1" w:type="dxa"/>
              <w:right w:w="-1" w:type="dxa"/>
            </w:tcMar>
            <w:vAlign w:val="center"/>
          </w:tcPr>
          <w:p w14:paraId="03AA9DFF">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约4800个</w:t>
            </w:r>
          </w:p>
        </w:tc>
        <w:tc>
          <w:tcPr>
            <w:tcW w:w="2097" w:type="dxa"/>
            <w:tcBorders>
              <w:top w:val="nil"/>
              <w:left w:val="nil"/>
              <w:bottom w:val="nil"/>
              <w:right w:val="nil"/>
            </w:tcBorders>
            <w:shd w:val="clear" w:color="auto" w:fill="auto"/>
            <w:noWrap w:val="0"/>
            <w:tcMar>
              <w:top w:w="-1" w:type="dxa"/>
              <w:left w:w="-1" w:type="dxa"/>
              <w:bottom w:w="-1" w:type="dxa"/>
              <w:right w:w="-1" w:type="dxa"/>
            </w:tcMar>
            <w:vAlign w:val="center"/>
          </w:tcPr>
          <w:p w14:paraId="1A554F4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约5100个</w:t>
            </w:r>
          </w:p>
        </w:tc>
        <w:tc>
          <w:tcPr>
            <w:tcW w:w="2454" w:type="dxa"/>
            <w:tcBorders>
              <w:top w:val="nil"/>
              <w:left w:val="nil"/>
              <w:bottom w:val="nil"/>
              <w:right w:val="nil"/>
            </w:tcBorders>
            <w:shd w:val="clear" w:color="auto" w:fill="auto"/>
            <w:noWrap w:val="0"/>
            <w:tcMar>
              <w:top w:w="-1" w:type="dxa"/>
              <w:left w:w="-1" w:type="dxa"/>
              <w:bottom w:w="-1" w:type="dxa"/>
              <w:right w:w="-1" w:type="dxa"/>
            </w:tcMar>
            <w:vAlign w:val="center"/>
          </w:tcPr>
          <w:p w14:paraId="5277A46C">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增加约6.7%</w:t>
            </w:r>
          </w:p>
        </w:tc>
      </w:tr>
      <w:tr w14:paraId="2B8E7EC6">
        <w:tblPrEx>
          <w:tblW w:w="8522" w:type="dxa"/>
          <w:jc w:val="center"/>
          <w:tblCellMar>
            <w:top w:w="0" w:type="dxa"/>
            <w:left w:w="108" w:type="dxa"/>
            <w:bottom w:w="0" w:type="dxa"/>
            <w:right w:w="108" w:type="dxa"/>
          </w:tblCellMar>
        </w:tblPrEx>
        <w:trPr>
          <w:trHeight w:hRule="auto" w:val="0"/>
          <w:tblHeader/>
          <w:jc w:val="center"/>
        </w:trPr>
        <w:tc>
          <w:tcPr>
            <w:tcW w:w="2087" w:type="dxa"/>
            <w:tcBorders>
              <w:top w:val="nil"/>
              <w:left w:val="nil"/>
              <w:bottom w:val="nil"/>
              <w:right w:val="nil"/>
            </w:tcBorders>
            <w:shd w:val="clear" w:color="auto" w:fill="auto"/>
            <w:noWrap w:val="0"/>
            <w:tcMar>
              <w:top w:w="-1" w:type="dxa"/>
              <w:left w:w="-1" w:type="dxa"/>
              <w:bottom w:w="-1" w:type="dxa"/>
              <w:right w:w="-1" w:type="dxa"/>
            </w:tcMar>
            <w:vAlign w:val="center"/>
          </w:tcPr>
          <w:p w14:paraId="5AFF3AA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综合故障识别率</w:t>
            </w:r>
          </w:p>
        </w:tc>
        <w:tc>
          <w:tcPr>
            <w:tcW w:w="1884" w:type="dxa"/>
            <w:tcBorders>
              <w:top w:val="nil"/>
              <w:left w:val="nil"/>
              <w:bottom w:val="nil"/>
              <w:right w:val="nil"/>
            </w:tcBorders>
            <w:shd w:val="clear" w:color="auto" w:fill="auto"/>
            <w:noWrap w:val="0"/>
            <w:tcMar>
              <w:top w:w="-1" w:type="dxa"/>
              <w:left w:w="-1" w:type="dxa"/>
              <w:bottom w:w="-1" w:type="dxa"/>
              <w:right w:w="-1" w:type="dxa"/>
            </w:tcMar>
            <w:vAlign w:val="center"/>
          </w:tcPr>
          <w:p w14:paraId="078D15F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约96.8%</w:t>
            </w:r>
          </w:p>
        </w:tc>
        <w:tc>
          <w:tcPr>
            <w:tcW w:w="2097" w:type="dxa"/>
            <w:tcBorders>
              <w:top w:val="nil"/>
              <w:left w:val="nil"/>
              <w:bottom w:val="nil"/>
              <w:right w:val="nil"/>
            </w:tcBorders>
            <w:shd w:val="clear" w:color="auto" w:fill="auto"/>
            <w:noWrap w:val="0"/>
            <w:tcMar>
              <w:top w:w="-1" w:type="dxa"/>
              <w:left w:w="-1" w:type="dxa"/>
              <w:bottom w:w="-1" w:type="dxa"/>
              <w:right w:w="-1" w:type="dxa"/>
            </w:tcMar>
            <w:vAlign w:val="center"/>
          </w:tcPr>
          <w:p w14:paraId="173CF92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95%-99%</w:t>
            </w:r>
          </w:p>
        </w:tc>
        <w:tc>
          <w:tcPr>
            <w:tcW w:w="2454" w:type="dxa"/>
            <w:tcBorders>
              <w:top w:val="nil"/>
              <w:left w:val="nil"/>
              <w:bottom w:val="nil"/>
              <w:right w:val="nil"/>
            </w:tcBorders>
            <w:shd w:val="clear" w:color="auto" w:fill="auto"/>
            <w:noWrap w:val="0"/>
            <w:tcMar>
              <w:top w:w="-1" w:type="dxa"/>
              <w:left w:w="-1" w:type="dxa"/>
              <w:bottom w:w="-1" w:type="dxa"/>
              <w:right w:w="-1" w:type="dxa"/>
            </w:tcMar>
            <w:vAlign w:val="center"/>
          </w:tcPr>
          <w:p w14:paraId="743D305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因故障类型而异</w:t>
            </w:r>
          </w:p>
        </w:tc>
      </w:tr>
      <w:tr w14:paraId="0AF3FC78">
        <w:tblPrEx>
          <w:tblW w:w="8522" w:type="dxa"/>
          <w:jc w:val="center"/>
          <w:tblCellMar>
            <w:top w:w="0" w:type="dxa"/>
            <w:left w:w="108" w:type="dxa"/>
            <w:bottom w:w="0" w:type="dxa"/>
            <w:right w:w="108" w:type="dxa"/>
          </w:tblCellMar>
        </w:tblPrEx>
        <w:trPr>
          <w:trHeight w:hRule="auto" w:val="0"/>
          <w:tblHeader/>
          <w:jc w:val="center"/>
        </w:trPr>
        <w:tc>
          <w:tcPr>
            <w:tcW w:w="2087" w:type="dxa"/>
            <w:tcBorders>
              <w:top w:val="nil"/>
              <w:left w:val="nil"/>
              <w:bottom w:val="nil"/>
              <w:right w:val="nil"/>
            </w:tcBorders>
            <w:shd w:val="clear" w:color="auto" w:fill="auto"/>
            <w:noWrap w:val="0"/>
            <w:tcMar>
              <w:top w:w="-1" w:type="dxa"/>
              <w:left w:w="-1" w:type="dxa"/>
              <w:bottom w:w="-1" w:type="dxa"/>
              <w:right w:w="-1" w:type="dxa"/>
            </w:tcMar>
            <w:vAlign w:val="center"/>
          </w:tcPr>
          <w:p w14:paraId="0E1EE5F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隐性缺陷检出率</w:t>
            </w:r>
          </w:p>
        </w:tc>
        <w:tc>
          <w:tcPr>
            <w:tcW w:w="1884" w:type="dxa"/>
            <w:tcBorders>
              <w:top w:val="nil"/>
              <w:left w:val="nil"/>
              <w:bottom w:val="nil"/>
              <w:right w:val="nil"/>
            </w:tcBorders>
            <w:shd w:val="clear" w:color="auto" w:fill="auto"/>
            <w:noWrap w:val="0"/>
            <w:tcMar>
              <w:top w:w="-1" w:type="dxa"/>
              <w:left w:w="-1" w:type="dxa"/>
              <w:bottom w:w="-1" w:type="dxa"/>
              <w:right w:w="-1" w:type="dxa"/>
            </w:tcMar>
            <w:vAlign w:val="center"/>
          </w:tcPr>
          <w:p w14:paraId="61259E1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基准值</w:t>
            </w:r>
          </w:p>
        </w:tc>
        <w:tc>
          <w:tcPr>
            <w:tcW w:w="2097" w:type="dxa"/>
            <w:tcBorders>
              <w:top w:val="nil"/>
              <w:left w:val="nil"/>
              <w:bottom w:val="nil"/>
              <w:right w:val="nil"/>
            </w:tcBorders>
            <w:shd w:val="clear" w:color="auto" w:fill="auto"/>
            <w:noWrap w:val="0"/>
            <w:tcMar>
              <w:top w:w="-1" w:type="dxa"/>
              <w:left w:w="-1" w:type="dxa"/>
              <w:bottom w:w="-1" w:type="dxa"/>
              <w:right w:w="-1" w:type="dxa"/>
            </w:tcMar>
            <w:vAlign w:val="center"/>
          </w:tcPr>
          <w:p w14:paraId="7330B54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提升约4倍</w:t>
            </w:r>
          </w:p>
        </w:tc>
        <w:tc>
          <w:tcPr>
            <w:tcW w:w="2454" w:type="dxa"/>
            <w:tcBorders>
              <w:top w:val="nil"/>
              <w:left w:val="nil"/>
              <w:bottom w:val="nil"/>
              <w:right w:val="nil"/>
            </w:tcBorders>
            <w:shd w:val="clear" w:color="auto" w:fill="auto"/>
            <w:noWrap w:val="0"/>
            <w:tcMar>
              <w:top w:w="-1" w:type="dxa"/>
              <w:left w:w="-1" w:type="dxa"/>
              <w:bottom w:w="-1" w:type="dxa"/>
              <w:right w:w="-1" w:type="dxa"/>
            </w:tcMar>
            <w:vAlign w:val="center"/>
          </w:tcPr>
          <w:p w14:paraId="6CCB30A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显著提升</w:t>
            </w:r>
          </w:p>
        </w:tc>
      </w:tr>
      <w:tr w14:paraId="5FC61E79">
        <w:tblPrEx>
          <w:tblW w:w="8522" w:type="dxa"/>
          <w:jc w:val="center"/>
          <w:tblCellMar>
            <w:top w:w="0" w:type="dxa"/>
            <w:left w:w="108" w:type="dxa"/>
            <w:bottom w:w="0" w:type="dxa"/>
            <w:right w:w="108" w:type="dxa"/>
          </w:tblCellMar>
        </w:tblPrEx>
        <w:trPr>
          <w:trHeight w:hRule="auto" w:val="0"/>
          <w:tblHeader/>
          <w:jc w:val="center"/>
        </w:trPr>
        <w:tc>
          <w:tcPr>
            <w:tcW w:w="2087" w:type="dxa"/>
            <w:tcBorders>
              <w:top w:val="nil"/>
              <w:left w:val="nil"/>
              <w:bottom w:val="nil"/>
              <w:right w:val="nil"/>
            </w:tcBorders>
            <w:shd w:val="clear" w:color="auto" w:fill="auto"/>
            <w:noWrap w:val="0"/>
            <w:tcMar>
              <w:top w:w="-1" w:type="dxa"/>
              <w:left w:w="-1" w:type="dxa"/>
              <w:bottom w:w="-1" w:type="dxa"/>
              <w:right w:w="-1" w:type="dxa"/>
            </w:tcMar>
            <w:vAlign w:val="center"/>
          </w:tcPr>
          <w:p w14:paraId="62A7FDE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点位识别准确率</w:t>
            </w:r>
          </w:p>
        </w:tc>
        <w:tc>
          <w:tcPr>
            <w:tcW w:w="1884" w:type="dxa"/>
            <w:tcBorders>
              <w:top w:val="nil"/>
              <w:left w:val="nil"/>
              <w:bottom w:val="nil"/>
              <w:right w:val="nil"/>
            </w:tcBorders>
            <w:shd w:val="clear" w:color="auto" w:fill="auto"/>
            <w:noWrap w:val="0"/>
            <w:tcMar>
              <w:top w:w="-1" w:type="dxa"/>
              <w:left w:w="-1" w:type="dxa"/>
              <w:bottom w:w="-1" w:type="dxa"/>
              <w:right w:w="-1" w:type="dxa"/>
            </w:tcMar>
            <w:vAlign w:val="center"/>
          </w:tcPr>
          <w:p w14:paraId="110508C1">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约96.8%</w:t>
            </w:r>
          </w:p>
        </w:tc>
        <w:tc>
          <w:tcPr>
            <w:tcW w:w="2097" w:type="dxa"/>
            <w:tcBorders>
              <w:top w:val="nil"/>
              <w:left w:val="nil"/>
              <w:bottom w:val="nil"/>
              <w:right w:val="nil"/>
            </w:tcBorders>
            <w:shd w:val="clear" w:color="auto" w:fill="auto"/>
            <w:noWrap w:val="0"/>
            <w:tcMar>
              <w:top w:w="-1" w:type="dxa"/>
              <w:left w:w="-1" w:type="dxa"/>
              <w:bottom w:w="-1" w:type="dxa"/>
              <w:right w:w="-1" w:type="dxa"/>
            </w:tcMar>
            <w:vAlign w:val="center"/>
          </w:tcPr>
          <w:p w14:paraId="4FC36E5E">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约99.17%</w:t>
            </w:r>
          </w:p>
        </w:tc>
        <w:tc>
          <w:tcPr>
            <w:tcW w:w="2454" w:type="dxa"/>
            <w:tcBorders>
              <w:top w:val="nil"/>
              <w:left w:val="nil"/>
              <w:bottom w:val="nil"/>
              <w:right w:val="nil"/>
            </w:tcBorders>
            <w:shd w:val="clear" w:color="auto" w:fill="auto"/>
            <w:noWrap w:val="0"/>
            <w:tcMar>
              <w:top w:w="-1" w:type="dxa"/>
              <w:left w:w="-1" w:type="dxa"/>
              <w:bottom w:w="-1" w:type="dxa"/>
              <w:right w:w="-1" w:type="dxa"/>
            </w:tcMar>
            <w:vAlign w:val="center"/>
          </w:tcPr>
          <w:p w14:paraId="488DD38E">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提升约2.4个百分点</w:t>
            </w:r>
          </w:p>
        </w:tc>
      </w:tr>
      <w:tr w14:paraId="01B077FA">
        <w:tblPrEx>
          <w:tblW w:w="8522" w:type="dxa"/>
          <w:jc w:val="center"/>
          <w:tblCellMar>
            <w:top w:w="0" w:type="dxa"/>
            <w:left w:w="108" w:type="dxa"/>
            <w:bottom w:w="0" w:type="dxa"/>
            <w:right w:w="108" w:type="dxa"/>
          </w:tblCellMar>
        </w:tblPrEx>
        <w:trPr>
          <w:trHeight w:hRule="auto" w:val="0"/>
          <w:tblHeader/>
          <w:jc w:val="center"/>
        </w:trPr>
        <w:tc>
          <w:tcPr>
            <w:tcW w:w="2087" w:type="dxa"/>
            <w:tcBorders>
              <w:top w:val="nil"/>
              <w:left w:val="nil"/>
              <w:bottom w:val="nil"/>
              <w:right w:val="nil"/>
            </w:tcBorders>
            <w:shd w:val="clear" w:color="auto" w:fill="auto"/>
            <w:noWrap w:val="0"/>
            <w:tcMar>
              <w:top w:w="-1" w:type="dxa"/>
              <w:left w:w="-1" w:type="dxa"/>
              <w:bottom w:w="-1" w:type="dxa"/>
              <w:right w:w="-1" w:type="dxa"/>
            </w:tcMar>
            <w:vAlign w:val="center"/>
          </w:tcPr>
          <w:p w14:paraId="43B05612">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连续作业时长</w:t>
            </w:r>
          </w:p>
        </w:tc>
        <w:tc>
          <w:tcPr>
            <w:tcW w:w="1884" w:type="dxa"/>
            <w:tcBorders>
              <w:top w:val="nil"/>
              <w:left w:val="nil"/>
              <w:bottom w:val="nil"/>
              <w:right w:val="nil"/>
            </w:tcBorders>
            <w:shd w:val="clear" w:color="auto" w:fill="auto"/>
            <w:noWrap w:val="0"/>
            <w:tcMar>
              <w:top w:w="-1" w:type="dxa"/>
              <w:left w:w="-1" w:type="dxa"/>
              <w:bottom w:w="-1" w:type="dxa"/>
              <w:right w:w="-1" w:type="dxa"/>
            </w:tcMar>
            <w:vAlign w:val="center"/>
          </w:tcPr>
          <w:p w14:paraId="536D7FD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2-3小时</w:t>
            </w:r>
          </w:p>
        </w:tc>
        <w:tc>
          <w:tcPr>
            <w:tcW w:w="2097" w:type="dxa"/>
            <w:tcBorders>
              <w:top w:val="nil"/>
              <w:left w:val="nil"/>
              <w:bottom w:val="nil"/>
              <w:right w:val="nil"/>
            </w:tcBorders>
            <w:shd w:val="clear" w:color="auto" w:fill="auto"/>
            <w:noWrap w:val="0"/>
            <w:tcMar>
              <w:top w:w="-1" w:type="dxa"/>
              <w:left w:w="-1" w:type="dxa"/>
              <w:bottom w:w="-1" w:type="dxa"/>
              <w:right w:w="-1" w:type="dxa"/>
            </w:tcMar>
            <w:vAlign w:val="center"/>
          </w:tcPr>
          <w:p w14:paraId="2F37AF48">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8小时以上</w:t>
            </w:r>
          </w:p>
        </w:tc>
        <w:tc>
          <w:tcPr>
            <w:tcW w:w="2454" w:type="dxa"/>
            <w:tcBorders>
              <w:top w:val="nil"/>
              <w:left w:val="nil"/>
              <w:bottom w:val="nil"/>
              <w:right w:val="nil"/>
            </w:tcBorders>
            <w:shd w:val="clear" w:color="auto" w:fill="auto"/>
            <w:noWrap w:val="0"/>
            <w:tcMar>
              <w:top w:w="-1" w:type="dxa"/>
              <w:left w:w="-1" w:type="dxa"/>
              <w:bottom w:w="-1" w:type="dxa"/>
              <w:right w:w="-1" w:type="dxa"/>
            </w:tcMar>
            <w:vAlign w:val="center"/>
          </w:tcPr>
          <w:p w14:paraId="48DD694F">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大幅延长</w:t>
            </w:r>
          </w:p>
        </w:tc>
      </w:tr>
      <w:tr w14:paraId="3CB3A64B">
        <w:tblPrEx>
          <w:tblW w:w="8522" w:type="dxa"/>
          <w:jc w:val="center"/>
          <w:tblCellMar>
            <w:top w:w="0" w:type="dxa"/>
            <w:left w:w="108" w:type="dxa"/>
            <w:bottom w:w="0" w:type="dxa"/>
            <w:right w:w="108" w:type="dxa"/>
          </w:tblCellMar>
        </w:tblPrEx>
        <w:trPr>
          <w:trHeight w:hRule="auto" w:val="0"/>
          <w:tblHeader/>
          <w:jc w:val="center"/>
        </w:trPr>
        <w:tc>
          <w:tcPr>
            <w:tcW w:w="2087"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2568A6D1">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数据可追溯性</w:t>
            </w:r>
          </w:p>
        </w:tc>
        <w:tc>
          <w:tcPr>
            <w:tcW w:w="1884"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3C99EB1F">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纸质记录为主</w:t>
            </w:r>
          </w:p>
        </w:tc>
        <w:tc>
          <w:tcPr>
            <w:tcW w:w="2097"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5B10295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全数字化存储</w:t>
            </w:r>
          </w:p>
        </w:tc>
        <w:tc>
          <w:tcPr>
            <w:tcW w:w="2454"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74428464">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val="0"/>
              <w:spacing w:beforeAutospacing="0" w:afterAutospacing="0" w:line="240" w:lineRule="auto"/>
              <w:ind w:firstLine="0" w:firstLineChars="0"/>
              <w:jc w:val="center"/>
              <w:textAlignment w:val="top"/>
              <w:rPr>
                <w:rFonts w:ascii="Times New Roman" w:eastAsia="宋体" w:hAnsi="Times New Roman" w:cs="Times New Roman" w:hint="default"/>
                <w:b w:val="0"/>
                <w:bCs w:val="0"/>
                <w:kern w:val="2"/>
                <w:sz w:val="24"/>
                <w:szCs w:val="24"/>
                <w:lang w:val="en-US" w:eastAsia="zh-CN" w:bidi="ar-SA"/>
              </w:rPr>
            </w:pPr>
            <w:r>
              <w:rPr>
                <w:rFonts w:ascii="Times New Roman" w:eastAsia="宋体" w:hAnsi="Times New Roman" w:cs="Times New Roman" w:hint="default"/>
                <w:b w:val="0"/>
                <w:bCs w:val="0"/>
                <w:kern w:val="0"/>
                <w:sz w:val="24"/>
                <w:szCs w:val="24"/>
                <w:lang w:val="en-US" w:eastAsia="zh-CN" w:bidi="ar"/>
              </w:rPr>
              <w:t>质的提升</w:t>
            </w:r>
          </w:p>
        </w:tc>
      </w:tr>
    </w:tbl>
    <w:p w14:paraId="79DD671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rPr>
          <w:rFonts w:ascii="Times New Roman" w:eastAsia="宋体" w:hAnsi="Times New Roman" w:cs="Times New Roman" w:hint="default"/>
          <w:b w:val="0"/>
          <w:bCs w:val="0"/>
          <w:kern w:val="0"/>
          <w:sz w:val="24"/>
          <w:szCs w:val="24"/>
          <w:lang w:val="en-US" w:eastAsia="zh-CN" w:bidi="ar"/>
        </w:rPr>
      </w:pPr>
    </w:p>
    <w:p w14:paraId="6231B3EC">
      <w:pPr>
        <w:pStyle w:val="Heading1"/>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sz w:val="24"/>
          <w:szCs w:val="24"/>
        </w:rPr>
      </w:pPr>
      <w:r>
        <w:rPr>
          <w:rFonts w:ascii="Times New Roman" w:eastAsia="宋体" w:hAnsi="Times New Roman" w:cs="Times New Roman" w:hint="default"/>
          <w:b w:val="0"/>
          <w:bCs w:val="0"/>
          <w:sz w:val="24"/>
          <w:szCs w:val="24"/>
        </w:rPr>
        <w:t>结语</w:t>
      </w:r>
    </w:p>
    <w:p w14:paraId="5A640BC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80" w:firstLineChars="200"/>
        <w:jc w:val="both"/>
        <w:rPr>
          <w:rFonts w:ascii="Times New Roman" w:eastAsia="宋体" w:hAnsi="Times New Roman" w:cs="Times New Roman" w:hint="default"/>
          <w:b w:val="0"/>
          <w:bCs w:val="0"/>
          <w:color w:val="0000FF"/>
          <w:sz w:val="24"/>
          <w:szCs w:val="24"/>
        </w:rPr>
      </w:pPr>
      <w:r>
        <w:rPr>
          <w:rFonts w:ascii="Times New Roman" w:eastAsia="宋体" w:hAnsi="Times New Roman" w:cs="Times New Roman" w:hint="default"/>
          <w:b w:val="0"/>
          <w:bCs w:val="0"/>
          <w:color w:val="0000FF"/>
          <w:kern w:val="0"/>
          <w:sz w:val="24"/>
          <w:szCs w:val="24"/>
          <w:lang w:val="en-US" w:eastAsia="zh-CN" w:bidi="ar"/>
        </w:rPr>
        <w:t>地铁车辆智能检修机器人故障识别技术经过近几年的发展，已经在视觉检测、尺寸测量、热成像诊断、声学分析等各个方面取得了实际的应用成果，在提高检修效率、保证检测精度、改善作业环境等方面具有明显的优点和应用价值。伴随着人工智能算法不断更新换代、传感器性能不断提高、多模态融合技术不断发展，智能检修机器人故障识别能力会向着更高精度、更广覆盖、更强自主的方向发展，给城市轨道交通安全高效运行提供强有力的保障。</w:t>
      </w:r>
    </w:p>
    <w:p w14:paraId="2F236715"/>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A517AA"/>
    <w:rsid w:val="46A517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2026-08-03T06:41:00Z</dcterms:created>
  <dcterms:modified xsi:type="dcterms:W3CDTF">2026-08-03T06:47:35Z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862BB787EB95458A87DC70AB3DD90C8A_11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