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11.0 -->
  <w:body>
    <w:p w14:paraId="7A36F26C">
      <w:pPr>
        <w:pStyle w:val="NormalWeb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textAlignment w:val="auto"/>
        <w:rPr>
          <w:rFonts w:asciiTheme="majorEastAsia" w:eastAsiaTheme="majorEastAsia" w:hAnsiTheme="majorEastAsia" w:cstheme="majorEastAsia" w:hint="default"/>
          <w:b w:val="0"/>
          <w:bCs w:val="0"/>
          <w:color w:val="0000FF"/>
          <w:kern w:val="2"/>
          <w:sz w:val="28"/>
          <w:szCs w:val="28"/>
          <w:lang w:val="en-US" w:eastAsia="zh-CN" w:bidi="ar-SA"/>
        </w:rPr>
      </w:pPr>
      <w:r>
        <w:rPr>
          <w:rFonts w:asciiTheme="majorEastAsia" w:eastAsiaTheme="majorEastAsia" w:hAnsiTheme="majorEastAsia" w:cstheme="majorEastAsia" w:hint="default"/>
          <w:b/>
          <w:bCs/>
          <w:kern w:val="2"/>
          <w:sz w:val="28"/>
          <w:szCs w:val="28"/>
          <w:lang w:val="en-US" w:eastAsia="zh-CN" w:bidi="ar-SA"/>
        </w:rPr>
        <w:t>摘要：</w:t>
      </w:r>
      <w:r>
        <w:rPr>
          <w:rFonts w:asciiTheme="majorEastAsia" w:eastAsiaTheme="majorEastAsia" w:hAnsiTheme="majorEastAsia" w:cstheme="majorEastAsia" w:hint="default"/>
          <w:color w:val="0000FF"/>
          <w:kern w:val="2"/>
          <w:sz w:val="28"/>
          <w:szCs w:val="28"/>
          <w:lang w:val="en-US" w:eastAsia="zh-CN" w:bidi="ar-SA"/>
        </w:rPr>
        <w:t>本文创建起包含6个方面、共35个风险的公共图书馆AI应用风险评价体系，并用256份有效的问卷来展开实证研究。研究结果表明，数据孤岛、数据质量、侵权责任认定是共性的风险，馆员对于培训滞后、技能鸿沟的担忧最大。因此提出夯实数据底座、完善制度规范、弥合数字鸿沟、建立分层培训体系、设立伦理治理机制等治理措施。</w:t>
      </w:r>
    </w:p>
    <w:p w14:paraId="40B31AB9">
      <w:pPr>
        <w:ind w:firstLine="560" w:firstLineChars="200"/>
        <w:rPr>
          <w:rFonts w:ascii="仿宋" w:eastAsia="仿宋" w:hAnsi="仿宋" w:cs="仿宋" w:hint="eastAsia"/>
          <w:color w:val="0000FF"/>
          <w:sz w:val="28"/>
          <w:szCs w:val="28"/>
          <w:lang w:val="en-US" w:eastAsia="zh-CN"/>
        </w:rPr>
      </w:pPr>
    </w:p>
    <w:p w14:paraId="36BF13F3">
      <w:pPr>
        <w:ind w:firstLine="560" w:firstLineChars="200"/>
        <w:rPr>
          <w:rFonts w:ascii="仿宋" w:eastAsia="仿宋" w:hAnsi="仿宋" w:cs="仿宋" w:hint="eastAsia"/>
          <w:color w:val="0000FF"/>
          <w:sz w:val="28"/>
          <w:szCs w:val="28"/>
          <w:vertAlign w:val="baseline"/>
          <w:lang w:val="en-US" w:eastAsia="zh-CN"/>
        </w:rPr>
      </w:pPr>
      <w:r>
        <w:rPr>
          <w:rFonts w:ascii="仿宋" w:eastAsia="仿宋" w:hAnsi="仿宋" w:cs="仿宋" w:hint="eastAsia"/>
          <w:color w:val="0000FF"/>
          <w:sz w:val="28"/>
          <w:szCs w:val="28"/>
          <w:lang w:val="en-US" w:eastAsia="zh-CN"/>
        </w:rPr>
        <w:t>从已有研究来看，国内的研究大致可以分为两大部分，第一部分是技术赋能的理论探索，早期主要关注AI空间再造、信息无障碍服务等构想；第二部分是AI在图书馆场景的应用研究，以及针对信息检索、参考咨询、机器人等具体业务的分析。二是对于AI应用的冷思考，学者认为AIGC存在着内容偏差、数据滥用、侵犯第三方版权、个人信息保护制度和技术薄弱等问题。</w:t>
      </w:r>
    </w:p>
    <w:p w14:paraId="1D08D614">
      <w:pPr>
        <w:ind w:firstLine="560" w:firstLineChars="200"/>
        <w:rPr>
          <w:rFonts w:ascii="仿宋" w:eastAsia="仿宋" w:hAnsi="仿宋" w:cs="仿宋" w:hint="eastAsia"/>
          <w:color w:val="0000FF"/>
          <w:sz w:val="28"/>
          <w:szCs w:val="28"/>
          <w:lang w:val="en-US" w:eastAsia="zh-CN"/>
        </w:rPr>
      </w:pPr>
      <w:r>
        <w:rPr>
          <w:rFonts w:ascii="仿宋" w:eastAsia="仿宋" w:hAnsi="仿宋" w:cs="仿宋" w:hint="eastAsia"/>
          <w:color w:val="0000FF"/>
          <w:sz w:val="28"/>
          <w:szCs w:val="28"/>
          <w:lang w:val="en-US" w:eastAsia="zh-CN"/>
        </w:rPr>
        <w:t>因此相关研究存在着理论丰富但是缺乏深度的状况。本文以构建多维风险评价体系为基础，用问卷调查法收集读者和馆员对公共图书馆AI应用的感知数据，对公共图书馆AI应用所面临的系统性风险、公众认知的优先次序和结构特点进行系统的分析，并且对不同群体的风险感知差异进行分析。</w:t>
      </w:r>
    </w:p>
    <w:p w14:paraId="706608FD">
      <w:pPr>
        <w:ind w:firstLine="560"/>
        <w:jc w:val="center"/>
        <w:rPr>
          <w:rFonts w:ascii="仿宋" w:eastAsia="仿宋" w:hAnsi="仿宋" w:cs="仿宋" w:hint="eastAsia"/>
          <w:b w:val="0"/>
          <w:bCs w:val="0"/>
          <w:color w:val="auto"/>
          <w:sz w:val="21"/>
          <w:szCs w:val="21"/>
          <w:lang w:val="en-US" w:eastAsia="zh-CN"/>
        </w:rPr>
      </w:pPr>
    </w:p>
    <w:p w14:paraId="59479ABF">
      <w:pPr>
        <w:ind w:firstLine="560"/>
        <w:jc w:val="center"/>
        <w:rPr>
          <w:rFonts w:ascii="仿宋" w:eastAsia="仿宋" w:hAnsi="仿宋" w:cs="仿宋"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ascii="仿宋" w:eastAsia="仿宋" w:hAnsi="仿宋" w:cs="仿宋" w:hint="eastAsia"/>
          <w:b w:val="0"/>
          <w:bCs w:val="0"/>
          <w:color w:val="auto"/>
          <w:sz w:val="21"/>
          <w:szCs w:val="21"/>
          <w:lang w:val="en-US" w:eastAsia="zh-CN"/>
        </w:rPr>
        <w:t>表1 公共图书馆应用人工智能风险表</w:t>
      </w:r>
    </w:p>
    <w:tbl>
      <w:tblPr>
        <w:tblStyle w:val="TableGrid"/>
        <w:tblW w:w="5000" w:type="pct"/>
        <w:tblInd w:w="0" w:type="dxa"/>
        <w:tblBorders>
          <w:top w:val="single" w:sz="18" w:space="0" w:color="000000" w:themeColor="text1"/>
          <w:left w:val="none" w:sz="0" w:space="0" w:color="auto"/>
          <w:bottom w:val="single" w:sz="18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2177"/>
        <w:gridCol w:w="4642"/>
      </w:tblGrid>
      <w:tr w14:paraId="028F5834">
        <w:tblPrEx>
          <w:tblW w:w="5000" w:type="pct"/>
          <w:tblInd w:w="0" w:type="dxa"/>
          <w:tblBorders>
            <w:top w:val="single" w:sz="18" w:space="0" w:color="000000" w:themeColor="text1"/>
            <w:left w:val="none" w:sz="0" w:space="0" w:color="auto"/>
            <w:bottom w:val="single" w:sz="18" w:space="0" w:color="000000" w:themeColor="text1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tcBorders>
              <w:bottom w:val="single" w:sz="12" w:space="0" w:color="000000" w:themeColor="text1"/>
              <w:tl2br w:val="nil"/>
              <w:tr2bl w:val="nil"/>
            </w:tcBorders>
          </w:tcPr>
          <w:p w14:paraId="0A36D496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</w:p>
          <w:p w14:paraId="7507968B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77" w:type="pct"/>
            <w:tcBorders>
              <w:bottom w:val="single" w:sz="12" w:space="0" w:color="000000" w:themeColor="text1"/>
              <w:tl2br w:val="nil"/>
              <w:tr2bl w:val="nil"/>
            </w:tcBorders>
          </w:tcPr>
          <w:p w14:paraId="6A5F52C0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  <w:t>风险</w:t>
            </w:r>
          </w:p>
        </w:tc>
        <w:tc>
          <w:tcPr>
            <w:tcW w:w="2723" w:type="pct"/>
            <w:tcBorders>
              <w:bottom w:val="single" w:sz="12" w:space="0" w:color="000000" w:themeColor="text1"/>
              <w:tl2br w:val="nil"/>
              <w:tr2bl w:val="nil"/>
            </w:tcBorders>
          </w:tcPr>
          <w:p w14:paraId="5AA300E0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  <w:t>风险描述</w:t>
            </w:r>
          </w:p>
        </w:tc>
      </w:tr>
      <w:tr w14:paraId="6894640B">
        <w:tblPrEx>
          <w:tblW w:w="5000" w:type="pct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vMerge w:val="restart"/>
            <w:tcBorders>
              <w:tl2br w:val="nil"/>
              <w:tr2bl w:val="nil"/>
            </w:tcBorders>
          </w:tcPr>
          <w:p w14:paraId="09DAAF89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  <w:t>职业与人力资源(H)</w:t>
            </w:r>
          </w:p>
        </w:tc>
        <w:tc>
          <w:tcPr>
            <w:tcW w:w="1277" w:type="pct"/>
            <w:tcBorders>
              <w:tl2br w:val="nil"/>
              <w:tr2bl w:val="nil"/>
            </w:tcBorders>
          </w:tcPr>
          <w:p w14:paraId="27D20EAD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  <w:t>岗位替代 H1</w:t>
            </w:r>
          </w:p>
        </w:tc>
        <w:tc>
          <w:tcPr>
            <w:tcW w:w="2723" w:type="pct"/>
            <w:tcBorders>
              <w:tl2br w:val="nil"/>
              <w:tr2bl w:val="nil"/>
            </w:tcBorders>
          </w:tcPr>
          <w:p w14:paraId="23C4082A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  <w:t>部分工作被AI替代</w:t>
            </w:r>
          </w:p>
        </w:tc>
      </w:tr>
      <w:tr w14:paraId="5E62E476">
        <w:tblPrEx>
          <w:tblW w:w="5000" w:type="pct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vMerge/>
            <w:tcBorders>
              <w:tl2br w:val="nil"/>
              <w:tr2bl w:val="nil"/>
            </w:tcBorders>
          </w:tcPr>
          <w:p w14:paraId="16D86FA6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77" w:type="pct"/>
            <w:tcBorders>
              <w:tl2br w:val="nil"/>
              <w:tr2bl w:val="nil"/>
            </w:tcBorders>
          </w:tcPr>
          <w:p w14:paraId="660040A7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  <w:t>技能鸿沟 H2</w:t>
            </w:r>
          </w:p>
        </w:tc>
        <w:tc>
          <w:tcPr>
            <w:tcW w:w="2723" w:type="pct"/>
            <w:tcBorders>
              <w:tl2br w:val="nil"/>
              <w:tr2bl w:val="nil"/>
            </w:tcBorders>
          </w:tcPr>
          <w:p w14:paraId="004D1770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  <w:t>现有技能难以满足数据分析等新需求</w:t>
            </w:r>
          </w:p>
        </w:tc>
      </w:tr>
      <w:tr w14:paraId="65669B43">
        <w:tblPrEx>
          <w:tblW w:w="5000" w:type="pct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vMerge/>
            <w:tcBorders>
              <w:tl2br w:val="nil"/>
              <w:tr2bl w:val="nil"/>
            </w:tcBorders>
          </w:tcPr>
          <w:p w14:paraId="0FF8048A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77" w:type="pct"/>
            <w:tcBorders>
              <w:tl2br w:val="nil"/>
              <w:tr2bl w:val="nil"/>
            </w:tcBorders>
          </w:tcPr>
          <w:p w14:paraId="3DE3021C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  <w:t>职业认同危机 H3</w:t>
            </w:r>
          </w:p>
        </w:tc>
        <w:tc>
          <w:tcPr>
            <w:tcW w:w="2723" w:type="pct"/>
            <w:tcBorders>
              <w:tl2br w:val="nil"/>
              <w:tr2bl w:val="nil"/>
            </w:tcBorders>
          </w:tcPr>
          <w:p w14:paraId="6FF1B1D4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  <w:t>AI介入引发对自身角色和价值的困惑与焦虑</w:t>
            </w:r>
          </w:p>
        </w:tc>
      </w:tr>
      <w:tr w14:paraId="4F4A3AB8">
        <w:tblPrEx>
          <w:tblW w:w="5000" w:type="pct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vMerge/>
            <w:tcBorders>
              <w:tl2br w:val="nil"/>
              <w:tr2bl w:val="nil"/>
            </w:tcBorders>
          </w:tcPr>
          <w:p w14:paraId="3E7A307C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77" w:type="pct"/>
            <w:tcBorders>
              <w:tl2br w:val="nil"/>
              <w:tr2bl w:val="nil"/>
            </w:tcBorders>
          </w:tcPr>
          <w:p w14:paraId="2F384AF5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  <w:t>人机协作冲突 H4</w:t>
            </w:r>
          </w:p>
        </w:tc>
        <w:tc>
          <w:tcPr>
            <w:tcW w:w="2723" w:type="pct"/>
            <w:tcBorders>
              <w:tl2br w:val="nil"/>
              <w:tr2bl w:val="nil"/>
            </w:tcBorders>
          </w:tcPr>
          <w:p w14:paraId="4ECDDC09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  <w:t>AI流程衔接不畅导致增加工作负担</w:t>
            </w:r>
          </w:p>
        </w:tc>
      </w:tr>
      <w:tr w14:paraId="66858120">
        <w:tblPrEx>
          <w:tblW w:w="5000" w:type="pct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vMerge/>
            <w:tcBorders>
              <w:tl2br w:val="nil"/>
              <w:tr2bl w:val="nil"/>
            </w:tcBorders>
          </w:tcPr>
          <w:p w14:paraId="01117B46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77" w:type="pct"/>
            <w:tcBorders>
              <w:tl2br w:val="nil"/>
              <w:tr2bl w:val="nil"/>
            </w:tcBorders>
          </w:tcPr>
          <w:p w14:paraId="5DB43CB7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  <w:t>培训体系滞后 H5</w:t>
            </w:r>
          </w:p>
        </w:tc>
        <w:tc>
          <w:tcPr>
            <w:tcW w:w="2723" w:type="pct"/>
            <w:tcBorders>
              <w:tl2br w:val="nil"/>
              <w:tr2bl w:val="nil"/>
            </w:tcBorders>
          </w:tcPr>
          <w:p w14:paraId="0F60BD1D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  <w:t>现有培训无法跟上AI技术发展需求</w:t>
            </w:r>
          </w:p>
        </w:tc>
      </w:tr>
      <w:tr w14:paraId="56119B02">
        <w:tblPrEx>
          <w:tblW w:w="5000" w:type="pct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vMerge w:val="restart"/>
            <w:tcBorders>
              <w:tl2br w:val="nil"/>
              <w:tr2bl w:val="nil"/>
            </w:tcBorders>
          </w:tcPr>
          <w:p w14:paraId="1FAF0EFA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  <w:t>法律与治理(L)</w:t>
            </w:r>
          </w:p>
        </w:tc>
        <w:tc>
          <w:tcPr>
            <w:tcW w:w="1277" w:type="pct"/>
            <w:tcBorders>
              <w:tl2br w:val="nil"/>
              <w:tr2bl w:val="nil"/>
            </w:tcBorders>
          </w:tcPr>
          <w:p w14:paraId="1EB4822C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  <w:t>版权合规 L1</w:t>
            </w:r>
          </w:p>
        </w:tc>
        <w:tc>
          <w:tcPr>
            <w:tcW w:w="2723" w:type="pct"/>
            <w:tcBorders>
              <w:tl2br w:val="nil"/>
              <w:tr2bl w:val="nil"/>
            </w:tcBorders>
          </w:tcPr>
          <w:p w14:paraId="54340019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  <w:t>训练使用的大量版权作品存在侵权争议</w:t>
            </w:r>
          </w:p>
        </w:tc>
      </w:tr>
      <w:tr w14:paraId="1EBF488C">
        <w:tblPrEx>
          <w:tblW w:w="5000" w:type="pct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vMerge/>
            <w:tcBorders>
              <w:tl2br w:val="nil"/>
              <w:tr2bl w:val="nil"/>
            </w:tcBorders>
          </w:tcPr>
          <w:p w14:paraId="0362E8A8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77" w:type="pct"/>
            <w:tcBorders>
              <w:tl2br w:val="nil"/>
              <w:tr2bl w:val="nil"/>
            </w:tcBorders>
          </w:tcPr>
          <w:p w14:paraId="7F016BE0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  <w:t>侵权责任认定困难 L2</w:t>
            </w:r>
          </w:p>
        </w:tc>
        <w:tc>
          <w:tcPr>
            <w:tcW w:w="2723" w:type="pct"/>
            <w:tcBorders>
              <w:tl2br w:val="nil"/>
              <w:tr2bl w:val="nil"/>
            </w:tcBorders>
          </w:tcPr>
          <w:p w14:paraId="38E0676E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  <w:t>AI输出错误或侵权时，责任主体不明</w:t>
            </w:r>
          </w:p>
        </w:tc>
      </w:tr>
      <w:tr w14:paraId="5955A220">
        <w:tblPrEx>
          <w:tblW w:w="5000" w:type="pct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vMerge/>
            <w:tcBorders>
              <w:tl2br w:val="nil"/>
              <w:tr2bl w:val="nil"/>
            </w:tcBorders>
          </w:tcPr>
          <w:p w14:paraId="4B740096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77" w:type="pct"/>
            <w:tcBorders>
              <w:tl2br w:val="nil"/>
              <w:tr2bl w:val="nil"/>
            </w:tcBorders>
          </w:tcPr>
          <w:p w14:paraId="2354F6DA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  <w:t>合规成本过高 L3</w:t>
            </w:r>
          </w:p>
        </w:tc>
        <w:tc>
          <w:tcPr>
            <w:tcW w:w="2723" w:type="pct"/>
            <w:tcBorders>
              <w:tl2br w:val="nil"/>
              <w:tr2bl w:val="nil"/>
            </w:tcBorders>
          </w:tcPr>
          <w:p w14:paraId="779A1564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  <w:t>满足相关法规要求需投入高额资金与人力</w:t>
            </w:r>
          </w:p>
        </w:tc>
      </w:tr>
      <w:tr w14:paraId="76E0254F">
        <w:tblPrEx>
          <w:tblW w:w="5000" w:type="pct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vMerge/>
            <w:tcBorders>
              <w:tl2br w:val="nil"/>
              <w:tr2bl w:val="nil"/>
            </w:tcBorders>
          </w:tcPr>
          <w:p w14:paraId="4CE9B28A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77" w:type="pct"/>
            <w:tcBorders>
              <w:tl2br w:val="nil"/>
              <w:tr2bl w:val="nil"/>
            </w:tcBorders>
          </w:tcPr>
          <w:p w14:paraId="110A3CF2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  <w:t>监管政策不确定性 L4</w:t>
            </w:r>
          </w:p>
        </w:tc>
        <w:tc>
          <w:tcPr>
            <w:tcW w:w="2723" w:type="pct"/>
            <w:tcBorders>
              <w:tl2br w:val="nil"/>
              <w:tr2bl w:val="nil"/>
            </w:tcBorders>
          </w:tcPr>
          <w:p w14:paraId="4E6A7EC5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  <w:t>相关法规调整可能导致已建系统调整或停用</w:t>
            </w:r>
          </w:p>
        </w:tc>
      </w:tr>
      <w:tr w14:paraId="0FFB49F0">
        <w:tblPrEx>
          <w:tblW w:w="5000" w:type="pct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vMerge/>
            <w:tcBorders>
              <w:tl2br w:val="nil"/>
              <w:tr2bl w:val="nil"/>
            </w:tcBorders>
          </w:tcPr>
          <w:p w14:paraId="6E4132BC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77" w:type="pct"/>
            <w:tcBorders>
              <w:tl2br w:val="nil"/>
              <w:tr2bl w:val="nil"/>
            </w:tcBorders>
          </w:tcPr>
          <w:p w14:paraId="3513D32D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  <w:t>采购与招标 L5</w:t>
            </w:r>
          </w:p>
        </w:tc>
        <w:tc>
          <w:tcPr>
            <w:tcW w:w="2723" w:type="pct"/>
            <w:tcBorders>
              <w:tl2br w:val="nil"/>
              <w:tr2bl w:val="nil"/>
            </w:tcBorders>
          </w:tcPr>
          <w:p w14:paraId="0DF60D31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  <w:t>缺乏统一标准，可能购入不成熟产品</w:t>
            </w:r>
          </w:p>
        </w:tc>
      </w:tr>
      <w:tr w14:paraId="267156E6">
        <w:tblPrEx>
          <w:tblW w:w="5000" w:type="pct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vMerge/>
            <w:tcBorders>
              <w:tl2br w:val="nil"/>
              <w:tr2bl w:val="nil"/>
            </w:tcBorders>
          </w:tcPr>
          <w:p w14:paraId="2FD5AF22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77" w:type="pct"/>
            <w:tcBorders>
              <w:tl2br w:val="nil"/>
              <w:tr2bl w:val="nil"/>
            </w:tcBorders>
          </w:tcPr>
          <w:p w14:paraId="778A16A1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  <w:t>服务连续性 L6</w:t>
            </w:r>
          </w:p>
        </w:tc>
        <w:tc>
          <w:tcPr>
            <w:tcW w:w="2723" w:type="pct"/>
            <w:tcBorders>
              <w:tl2br w:val="nil"/>
              <w:tr2bl w:val="nil"/>
            </w:tcBorders>
          </w:tcPr>
          <w:p w14:paraId="43D8BE85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  <w:t>供应商停止服务导致业务中断</w:t>
            </w:r>
          </w:p>
        </w:tc>
      </w:tr>
      <w:tr w14:paraId="23FB568C">
        <w:tblPrEx>
          <w:tblW w:w="5000" w:type="pct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vMerge w:val="restart"/>
            <w:tcBorders>
              <w:tl2br w:val="nil"/>
              <w:tr2bl w:val="nil"/>
            </w:tcBorders>
          </w:tcPr>
          <w:p w14:paraId="691CEDBE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  <w:t>技术与系统(T)</w:t>
            </w:r>
          </w:p>
        </w:tc>
        <w:tc>
          <w:tcPr>
            <w:tcW w:w="1277" w:type="pct"/>
            <w:tcBorders>
              <w:tl2br w:val="nil"/>
              <w:tr2bl w:val="nil"/>
            </w:tcBorders>
          </w:tcPr>
          <w:p w14:paraId="3339D93E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  <w:t>系统集成 T1</w:t>
            </w:r>
          </w:p>
        </w:tc>
        <w:tc>
          <w:tcPr>
            <w:tcW w:w="2723" w:type="pct"/>
            <w:tcBorders>
              <w:tl2br w:val="nil"/>
              <w:tr2bl w:val="nil"/>
            </w:tcBorders>
          </w:tcPr>
          <w:p w14:paraId="180F3A4E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  <w:t>与原有系统难以对接，形成新信息孤岛</w:t>
            </w:r>
          </w:p>
        </w:tc>
      </w:tr>
      <w:tr w14:paraId="3A15979D">
        <w:tblPrEx>
          <w:tblW w:w="5000" w:type="pct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vMerge/>
            <w:tcBorders>
              <w:tl2br w:val="nil"/>
              <w:tr2bl w:val="nil"/>
            </w:tcBorders>
          </w:tcPr>
          <w:p w14:paraId="6D84449B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77" w:type="pct"/>
            <w:tcBorders>
              <w:tl2br w:val="nil"/>
              <w:tr2bl w:val="nil"/>
            </w:tcBorders>
          </w:tcPr>
          <w:p w14:paraId="43CAA610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  <w:t>运维成本 T2</w:t>
            </w:r>
          </w:p>
        </w:tc>
        <w:tc>
          <w:tcPr>
            <w:tcW w:w="2723" w:type="pct"/>
            <w:tcBorders>
              <w:tl2br w:val="nil"/>
              <w:tr2bl w:val="nil"/>
            </w:tcBorders>
          </w:tcPr>
          <w:p w14:paraId="10C31EC1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  <w:t>持续投入算力、数据维护等高额成本</w:t>
            </w:r>
          </w:p>
        </w:tc>
      </w:tr>
      <w:tr w14:paraId="7089E2AF">
        <w:tblPrEx>
          <w:tblW w:w="5000" w:type="pct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vMerge/>
            <w:tcBorders>
              <w:tl2br w:val="nil"/>
              <w:tr2bl w:val="nil"/>
            </w:tcBorders>
          </w:tcPr>
          <w:p w14:paraId="73F3F5B1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77" w:type="pct"/>
            <w:tcBorders>
              <w:tl2br w:val="nil"/>
              <w:tr2bl w:val="nil"/>
            </w:tcBorders>
          </w:tcPr>
          <w:p w14:paraId="743F24D7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  <w:t>技术依赖 T3</w:t>
            </w:r>
          </w:p>
        </w:tc>
        <w:tc>
          <w:tcPr>
            <w:tcW w:w="2723" w:type="pct"/>
            <w:tcBorders>
              <w:tl2br w:val="nil"/>
              <w:tr2bl w:val="nil"/>
            </w:tcBorders>
          </w:tcPr>
          <w:p w14:paraId="04F271D8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  <w:t>过度依赖单一供应商丧失自主发展能力</w:t>
            </w:r>
          </w:p>
        </w:tc>
      </w:tr>
      <w:tr w14:paraId="4E73C011">
        <w:tblPrEx>
          <w:tblW w:w="5000" w:type="pct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vMerge/>
            <w:tcBorders>
              <w:tl2br w:val="nil"/>
              <w:tr2bl w:val="nil"/>
            </w:tcBorders>
          </w:tcPr>
          <w:p w14:paraId="620B56C6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77" w:type="pct"/>
            <w:tcBorders>
              <w:tl2br w:val="nil"/>
              <w:tr2bl w:val="nil"/>
            </w:tcBorders>
          </w:tcPr>
          <w:p w14:paraId="49808E5D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  <w:t>技术快速迭代 T4</w:t>
            </w:r>
          </w:p>
        </w:tc>
        <w:tc>
          <w:tcPr>
            <w:tcW w:w="2723" w:type="pct"/>
            <w:tcBorders>
              <w:tl2br w:val="nil"/>
              <w:tr2bl w:val="nil"/>
            </w:tcBorders>
          </w:tcPr>
          <w:p w14:paraId="463D5A64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  <w:t>前期系统投入在短期内面临淘汰</w:t>
            </w:r>
          </w:p>
        </w:tc>
      </w:tr>
      <w:tr w14:paraId="5E2A48ED">
        <w:tblPrEx>
          <w:tblW w:w="5000" w:type="pct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vMerge/>
            <w:tcBorders>
              <w:tl2br w:val="nil"/>
              <w:tr2bl w:val="nil"/>
            </w:tcBorders>
          </w:tcPr>
          <w:p w14:paraId="720F3E02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277" w:type="pct"/>
            <w:tcBorders>
              <w:tl2br w:val="nil"/>
              <w:tr2bl w:val="nil"/>
            </w:tcBorders>
          </w:tcPr>
          <w:p w14:paraId="14F21FE3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  <w:t>能耗与可持续性 T5</w:t>
            </w:r>
          </w:p>
        </w:tc>
        <w:tc>
          <w:tcPr>
            <w:tcW w:w="2723" w:type="pct"/>
            <w:tcBorders>
              <w:tl2br w:val="nil"/>
              <w:tr2bl w:val="nil"/>
            </w:tcBorders>
          </w:tcPr>
          <w:p w14:paraId="1D23A7D2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仿宋" w:eastAsia="仿宋" w:hAnsi="仿宋" w:cs="仿宋" w:hint="eastAsia"/>
                <w:kern w:val="0"/>
                <w:sz w:val="21"/>
                <w:szCs w:val="21"/>
                <w:lang w:val="en-US" w:eastAsia="zh-CN" w:bidi="ar"/>
              </w:rPr>
              <w:t>模型训练与运行消耗大量能源</w:t>
            </w:r>
          </w:p>
        </w:tc>
      </w:tr>
    </w:tbl>
    <w:p w14:paraId="5B3277B1">
      <w:pPr>
        <w:ind w:firstLine="560" w:firstLineChars="200"/>
        <w:rPr>
          <w:rFonts w:ascii="仿宋" w:eastAsia="仿宋" w:hAnsi="仿宋" w:cs="仿宋" w:hint="eastAsia"/>
          <w:color w:val="0000FF"/>
          <w:sz w:val="28"/>
          <w:szCs w:val="28"/>
          <w:lang w:val="en-US" w:eastAsia="zh-CN"/>
        </w:rPr>
      </w:pPr>
      <w:r>
        <w:rPr>
          <w:rFonts w:ascii="仿宋" w:eastAsia="仿宋" w:hAnsi="仿宋" w:cs="仿宋" w:hint="eastAsia"/>
          <w:color w:val="0000FF"/>
          <w:sz w:val="28"/>
          <w:szCs w:val="28"/>
          <w:lang w:val="en-US" w:eastAsia="zh-CN"/>
        </w:rPr>
        <w:t>以上六个维度以及每个维度下35个风险组成了本文风险调查量表体系，所有的后续调查都是以该量表为基础进行的。</w:t>
      </w:r>
    </w:p>
    <w:p w14:paraId="276BC612">
      <w:pPr>
        <w:rPr>
          <w:rFonts w:hint="eastAsia"/>
          <w:lang w:val="en-US" w:eastAsia="zh-CN"/>
        </w:rPr>
      </w:pPr>
    </w:p>
    <w:sectPr>
      <w:endnotePr>
        <w:numFmt w:val="decimal"/>
      </w:endnote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1"/>
  <w:embedSystemFonts/>
  <w:defaultTabStop w:val="420"/>
  <w:drawingGridVerticalSpacing w:val="156"/>
  <w:noPunctuationKerning/>
  <w:characterSpacingControl w:val="compressPunctuation"/>
  <w:endnotePr>
    <w:numFmt w:val="decimal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8C4074C"/>
    <w:rsid w:val="08C4074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 w:qFormat="1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 w:qFormat="1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 w:qFormat="1"/>
    <w:lsdException w:name="endnote text" w:semiHidden="0" w:uiPriority="0" w:unhideWhenUsed="0" w:qFormat="1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Ascii" w:eastAsiaTheme="minorEastAsia" w:hAnsiTheme="minorAscii" w:cstheme="minorBidi"/>
      <w:kern w:val="2"/>
      <w:sz w:val="21"/>
      <w:szCs w:val="24"/>
      <w:lang w:val="en-US" w:eastAsia="zh-CN" w:bidi="ar-SA"/>
    </w:rPr>
  </w:style>
  <w:style w:type="paragraph" w:styleId="Heading2">
    <w:name w:val="heading 2"/>
    <w:basedOn w:val="Normal"/>
    <w:next w:val="Normal"/>
    <w:semiHidden/>
    <w:unhideWhenUsed/>
    <w:qFormat/>
    <w:pPr>
      <w:spacing w:before="0" w:beforeAutospacing="1" w:after="0" w:afterAutospacing="1"/>
      <w:jc w:val="left"/>
      <w:outlineLvl w:val="1"/>
    </w:pPr>
    <w:rPr>
      <w:rFonts w:ascii="宋体" w:eastAsia="宋体" w:hAnsi="宋体" w:cs="宋体" w:hint="eastAsia"/>
      <w:b/>
      <w:bCs/>
      <w:kern w:val="0"/>
      <w:sz w:val="36"/>
      <w:szCs w:val="36"/>
      <w:lang w:val="en-US" w:eastAsia="zh-CN" w:bidi="ar"/>
    </w:rPr>
  </w:style>
  <w:style w:type="paragraph" w:styleId="Heading3">
    <w:name w:val="heading 3"/>
    <w:basedOn w:val="Normal"/>
    <w:next w:val="Normal"/>
    <w:semiHidden/>
    <w:unhideWhenUsed/>
    <w:qFormat/>
    <w:pPr>
      <w:spacing w:before="0" w:beforeAutospacing="1" w:after="0" w:afterAutospacing="1"/>
      <w:jc w:val="left"/>
      <w:outlineLvl w:val="2"/>
    </w:pPr>
    <w:rPr>
      <w:rFonts w:ascii="宋体" w:eastAsia="宋体" w:hAnsi="宋体" w:cs="宋体" w:hint="eastAsia"/>
      <w:b/>
      <w:bCs/>
      <w:kern w:val="0"/>
      <w:sz w:val="27"/>
      <w:szCs w:val="27"/>
      <w:lang w:val="en-US" w:eastAsia="zh-CN" w:bidi="a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qFormat/>
    <w:pPr>
      <w:snapToGrid w:val="0"/>
      <w:jc w:val="left"/>
    </w:pPr>
  </w:style>
  <w:style w:type="paragraph" w:styleId="FootnoteText">
    <w:name w:val="footnote text"/>
    <w:basedOn w:val="Normal"/>
    <w:qFormat/>
    <w:pPr>
      <w:snapToGrid w:val="0"/>
      <w:jc w:val="left"/>
    </w:pPr>
    <w:rPr>
      <w:sz w:val="18"/>
    </w:rPr>
  </w:style>
  <w:style w:type="paragraph" w:styleId="NormalWeb">
    <w:name w:val="Normal (Web)"/>
    <w:basedOn w:val="Normal"/>
    <w:qFormat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Pr>
      <w:b/>
    </w:rPr>
  </w:style>
  <w:style w:type="character" w:styleId="EndnoteReference">
    <w:name w:val="endnote reference"/>
    <w:basedOn w:val="DefaultParagraphFont"/>
    <w:qFormat/>
    <w:rPr>
      <w:vertAlign w:val="superscript"/>
    </w:rPr>
  </w:style>
  <w:style w:type="character" w:styleId="FootnoteReference">
    <w:name w:val="footnote reference"/>
    <w:basedOn w:val="DefaultParagraphFont"/>
    <w:qFormat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Resurgam</dc:creator>
  <cp:lastModifiedBy>Resurgam</cp:lastModifiedBy>
  <cp:revision>1</cp:revision>
  <dcterms:created xsi:type="dcterms:W3CDTF">2026-07-09T01:46:00Z</dcterms:created>
  <dcterms:modified xsi:type="dcterms:W3CDTF">2026-07-09T05:15:40Z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673A4C1BA0604EA9BE112F37B73C7E16_11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eyJoZGlkIjoiYTk3YmY3NWQ0YmNmZGVmMTdjYzMzOTgyZjgzMDQwZTkiLCJ1c2VySWQiOiIyNDYyMTY4NzMifQ==</vt:lpwstr>
  </property>
</Properties>
</file>