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45080F45">
      <w:pPr>
        <w:rPr>
          <w:rFonts w:hint="eastAsia"/>
        </w:rPr>
      </w:pPr>
      <w:r>
        <w:rPr>
          <w:rFonts w:hint="eastAsia"/>
        </w:rPr>
        <w:t>按照科技兴安全域感知建设标准，创建起包含结构力学、现场环境、人员作业这三个方面的多源协同感知子系统，从而对危大工程所有的原始数据实施自动采集。结构类感知终端采用高精度倾角传感器、振弦式应力计、激光位移监测仪，分别布置在深基坑支护桩、高支模立杆、悬挑脚手架主梁等重要部位，对变形、轴力、沉降等主要力学参数进行实时监测。环境感知终端集成雨量、地下水位、风速、温湿度传感器来获取外部环境扰动引发的风险数据。人员感知用AI视频摄像头、智能安全帽定位模块，可以自动识别出无防护作业、违规堆载、超范围施工等人员危险行为。</w:t>
      </w:r>
    </w:p>
    <w:p w14:paraId="73311BD8">
      <w:pPr>
        <w:rPr>
          <w:rFonts w:hint="eastAsia"/>
        </w:rPr>
      </w:pPr>
      <w:r>
        <w:rPr>
          <w:rFonts w:hint="eastAsia"/>
        </w:rPr>
        <w:t>基础指标判定层根据建筑施工安全规范设置单个指标的安全阈值，自动判断位移、应力、水位等单个指标是否大于预警、警戒、危险三级限值，进行基本风险初判。多因子耦合计算层用灰色关联分析法来量化环境降水、机械振动、人员堆载等多诱因的耦合权重，计算复合风险放大系数，修正单一指标研判结果，避免由于多因素叠加造成的风险低估。风险趋势预测层用长短时记忆神经网络算法，把最近30天连续监测时序数据输入进去，预测出未来24小时指标变化趋势曲线，预估风险上升的时间。模型输出结果分为四个等级，蓝色低风险、黄色预警风险、橙色警戒风险、红色危险险情，不同的等级对应不同的管控处置措施。</w:t>
      </w:r>
    </w:p>
    <w:p w14:paraId="6A13A793">
      <w:pPr>
        <w:rPr>
          <w:rFonts w:hint="eastAsia"/>
        </w:rPr>
      </w:pPr>
      <w:r>
        <w:rPr>
          <w:rFonts w:hint="eastAsia"/>
        </w:rPr>
        <w:t>平台具有多终端同步推送功能，黄色以上风险会自动推送给项目安全负责人、现场施工班组长的手机小程序，橙色、红色险情也会同步推送给监理单位、企业安全管理部门、现场应急指挥人员，附带风险点位实时监测数据、现场监控画面、周边环境参数[4]。平台自带整改任务模块化派发功能，系统会自动匹配风险点位对应班组，确定整改时限、管控临时防护措施、复查判定标准，整改人员线上接收到任务后立即上传整改施工影像资料。复查环节采用线上核验的方式，监理人员从实时感知监测数据和整改前后指标变化中进行对比分析，联系现场视频影像完成线上复查，合格的立即销项，不合格的自动延长整改时间并提高风险预警等级。平台配备应急调度数据库，保存应急物资存放位置、特种作业人员名单、大型设备工况、周边疏散路线等基本信息，红色险情发生时一键调取全部应急资源数据，支持现场快速抢险调度。</w:t>
      </w:r>
    </w:p>
    <w:p w14:paraId="69121516">
      <w:r>
        <w:rPr>
          <w:rFonts w:hint="eastAsia"/>
        </w:rPr>
        <w:t>根据现场实测整理出的实操约束条件，根据科技兴安长期推广的要求提出分层优化改进路径。硬件感知终端使用防尘防水一体化密封传感器外壳，加装自动清洁探头组件，改善物联网传输模块抗电磁干扰电路设计，配低温长效储能电池，适应各种复杂施工现场环境。人员管理配套层面编制标准的智能系统简易操作手册，在项目开工前对项目所有人员进行专项数字化安全管控培训，采用线上答题的方式进行考核，保证现场所有人员能够掌握平台基本的操作流程。从成本角度出发，提出模块化分层部署方案，对低风险危大工程的感知终端布设数量进行简化，采用租赁模式代替设备一次性采购，降低项目前期资金压力，打通地方住建部门科技兴安专项补贴申报渠道，减少企业技术推广的经济负担。算法模型持续改进，不断收集各个区域、各种类型的危大工程监测数据集，扩充神经网络训练样本库，提高复合型风险研判的准确性，扩大平台数据对接接口，实现与地方建筑施工安全监管平台数据互通，助力主管部门开展线上远程监管，全方位完善一体化智能防控技术体系，支撑科技兴安战略长效落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365164"/>
    <w:rsid w:val="2F36516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2026-07-07T00:58:00Z</dcterms:created>
  <dcterms:modified xsi:type="dcterms:W3CDTF">2026-07-07T02:44:32Z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8110DA4B97A34C209E54894EAF7095DD_11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