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2598E697">
      <w:pPr>
        <w:keepNext w:val="0"/>
        <w:keepLines w:val="0"/>
        <w:pageBreakBefore w:val="0"/>
        <w:widowControl w:val="0"/>
        <w:kinsoku/>
        <w:wordWrap/>
        <w:overflowPunct/>
        <w:topLinePunct w:val="0"/>
        <w:autoSpaceDE/>
        <w:autoSpaceDN/>
        <w:bidi w:val="0"/>
        <w:adjustRightInd/>
        <w:snapToGrid/>
        <w:spacing w:line="288" w:lineRule="auto"/>
        <w:ind w:left="0"/>
        <w:jc w:val="center"/>
        <w:textAlignment w:val="auto"/>
        <w:outlineLvl w:val="0"/>
        <w:rPr>
          <w:rFonts w:ascii="宋体" w:eastAsia="宋体" w:hAnsi="宋体" w:cs="宋体" w:hint="eastAsia"/>
          <w:b w:val="0"/>
          <w:bCs/>
          <w:sz w:val="21"/>
          <w:szCs w:val="21"/>
        </w:rPr>
      </w:pPr>
      <w:bookmarkStart w:id="0" w:name="heading_0"/>
      <w:r>
        <w:rPr>
          <w:rFonts w:ascii="宋体" w:eastAsia="宋体" w:hAnsi="宋体" w:cs="宋体" w:hint="eastAsia"/>
          <w:b w:val="0"/>
          <w:bCs/>
          <w:sz w:val="21"/>
          <w:szCs w:val="21"/>
        </w:rPr>
        <w:t>污水厂自动化采样与在线监测联动技术及水质质控工程实践</w:t>
      </w:r>
      <w:bookmarkEnd w:id="0"/>
    </w:p>
    <w:p w14:paraId="3C0D1C7C">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1"/>
        <w:rPr>
          <w:rFonts w:ascii="宋体" w:eastAsia="宋体" w:hAnsi="宋体" w:cs="宋体" w:hint="eastAsia"/>
          <w:b w:val="0"/>
          <w:bCs/>
          <w:sz w:val="21"/>
          <w:szCs w:val="21"/>
        </w:rPr>
      </w:pPr>
      <w:bookmarkStart w:id="1" w:name="heading_1"/>
    </w:p>
    <w:p w14:paraId="02200164">
      <w:pPr>
        <w:keepNext w:val="0"/>
        <w:keepLines w:val="0"/>
        <w:pageBreakBefore w:val="0"/>
        <w:widowControl w:val="0"/>
        <w:kinsoku/>
        <w:wordWrap/>
        <w:overflowPunct/>
        <w:topLinePunct w:val="0"/>
        <w:autoSpaceDE/>
        <w:autoSpaceDN/>
        <w:bidi w:val="0"/>
        <w:adjustRightInd/>
        <w:snapToGrid/>
        <w:spacing w:line="288" w:lineRule="auto"/>
        <w:ind w:left="0" w:firstLine="420" w:firstLineChars="200"/>
        <w:jc w:val="left"/>
        <w:textAlignment w:val="auto"/>
        <w:outlineLvl w:val="1"/>
        <w:rPr>
          <w:rFonts w:ascii="宋体" w:eastAsia="宋体" w:hAnsi="宋体" w:cs="宋体" w:hint="eastAsia"/>
          <w:b w:val="0"/>
          <w:bCs/>
          <w:sz w:val="21"/>
          <w:szCs w:val="21"/>
          <w:lang w:eastAsia="zh-CN"/>
        </w:rPr>
      </w:pPr>
      <w:r>
        <w:rPr>
          <w:rFonts w:ascii="宋体" w:eastAsia="宋体" w:hAnsi="宋体" w:cs="宋体" w:hint="eastAsia"/>
          <w:b w:val="0"/>
          <w:bCs/>
          <w:sz w:val="21"/>
          <w:szCs w:val="21"/>
        </w:rPr>
        <w:t>摘要</w:t>
      </w:r>
      <w:bookmarkEnd w:id="1"/>
      <w:r>
        <w:rPr>
          <w:rFonts w:ascii="宋体" w:eastAsia="宋体" w:hAnsi="宋体" w:cs="宋体" w:hint="eastAsia"/>
          <w:b w:val="0"/>
          <w:bCs/>
          <w:sz w:val="21"/>
          <w:szCs w:val="21"/>
          <w:lang w:eastAsia="zh-CN"/>
        </w:rPr>
        <w:t>：</w:t>
      </w:r>
      <w:bookmarkStart w:id="2" w:name="heading_2"/>
    </w:p>
    <w:p w14:paraId="3EBE69D3">
      <w:pPr>
        <w:keepNext w:val="0"/>
        <w:keepLines w:val="0"/>
        <w:pageBreakBefore w:val="0"/>
        <w:widowControl w:val="0"/>
        <w:kinsoku/>
        <w:wordWrap/>
        <w:overflowPunct/>
        <w:topLinePunct w:val="0"/>
        <w:autoSpaceDE/>
        <w:autoSpaceDN/>
        <w:bidi w:val="0"/>
        <w:adjustRightInd/>
        <w:snapToGrid/>
        <w:spacing w:line="288" w:lineRule="auto"/>
        <w:ind w:left="0" w:firstLine="420" w:firstLineChars="200"/>
        <w:jc w:val="left"/>
        <w:textAlignment w:val="auto"/>
        <w:outlineLvl w:val="1"/>
        <w:rPr>
          <w:rFonts w:ascii="宋体" w:eastAsia="宋体" w:hAnsi="宋体" w:cs="宋体" w:hint="eastAsia"/>
          <w:b w:val="0"/>
          <w:bCs/>
          <w:sz w:val="21"/>
          <w:szCs w:val="21"/>
        </w:rPr>
      </w:pPr>
      <w:r>
        <w:rPr>
          <w:rFonts w:ascii="宋体" w:eastAsia="宋体" w:hAnsi="宋体" w:cs="宋体" w:hint="eastAsia"/>
          <w:b w:val="0"/>
          <w:bCs/>
          <w:sz w:val="21"/>
          <w:szCs w:val="21"/>
        </w:rPr>
        <w:t>关键词</w:t>
      </w:r>
      <w:bookmarkEnd w:id="2"/>
      <w:r>
        <w:rPr>
          <w:rFonts w:ascii="宋体" w:eastAsia="宋体" w:hAnsi="宋体" w:cs="宋体" w:hint="eastAsia"/>
          <w:b w:val="0"/>
          <w:bCs/>
          <w:sz w:val="21"/>
          <w:szCs w:val="21"/>
          <w:lang w:eastAsia="zh-CN"/>
        </w:rPr>
        <w:t>：</w:t>
      </w:r>
      <w:r>
        <w:rPr>
          <w:rFonts w:ascii="宋体" w:eastAsia="宋体" w:hAnsi="宋体" w:cs="宋体" w:hint="eastAsia"/>
          <w:b w:val="0"/>
          <w:bCs/>
          <w:sz w:val="21"/>
          <w:szCs w:val="21"/>
        </w:rPr>
        <w:t>城镇污水处理厂；自动化采样；在线监测；联动系统；水质质控</w:t>
      </w:r>
    </w:p>
    <w:p w14:paraId="15A42366">
      <w:pPr>
        <w:keepNext w:val="0"/>
        <w:keepLines w:val="0"/>
        <w:pageBreakBefore w:val="0"/>
        <w:widowControl w:val="0"/>
        <w:kinsoku/>
        <w:wordWrap/>
        <w:overflowPunct/>
        <w:topLinePunct w:val="0"/>
        <w:autoSpaceDE/>
        <w:autoSpaceDN/>
        <w:bidi w:val="0"/>
        <w:adjustRightInd/>
        <w:snapToGrid/>
        <w:spacing w:line="288" w:lineRule="auto"/>
        <w:ind w:left="0" w:firstLine="420" w:firstLineChars="200"/>
        <w:jc w:val="left"/>
        <w:textAlignment w:val="auto"/>
        <w:outlineLvl w:val="1"/>
        <w:rPr>
          <w:rFonts w:ascii="宋体" w:eastAsia="宋体" w:hAnsi="宋体" w:cs="宋体" w:hint="eastAsia"/>
          <w:b w:val="0"/>
          <w:bCs/>
          <w:sz w:val="21"/>
          <w:szCs w:val="21"/>
        </w:rPr>
      </w:pPr>
      <w:bookmarkStart w:id="3" w:name="heading_3"/>
      <w:r>
        <w:rPr>
          <w:rFonts w:ascii="宋体" w:eastAsia="宋体" w:hAnsi="宋体" w:cs="宋体" w:hint="eastAsia"/>
          <w:b w:val="0"/>
          <w:bCs/>
          <w:sz w:val="21"/>
          <w:szCs w:val="21"/>
        </w:rPr>
        <w:t>引言</w:t>
      </w:r>
      <w:bookmarkEnd w:id="3"/>
    </w:p>
    <w:p w14:paraId="798953C3">
      <w:pPr>
        <w:keepNext w:val="0"/>
        <w:keepLines w:val="0"/>
        <w:pageBreakBefore w:val="0"/>
        <w:widowControl w:val="0"/>
        <w:kinsoku/>
        <w:wordWrap/>
        <w:overflowPunct/>
        <w:topLinePunct w:val="0"/>
        <w:autoSpaceDE/>
        <w:autoSpaceDN/>
        <w:bidi w:val="0"/>
        <w:adjustRightInd/>
        <w:snapToGrid/>
        <w:spacing w:line="288" w:lineRule="auto"/>
        <w:ind w:left="0" w:firstLine="420" w:firstLineChars="200"/>
        <w:jc w:val="left"/>
        <w:textAlignment w:val="auto"/>
        <w:rPr>
          <w:rFonts w:ascii="宋体" w:eastAsia="宋体" w:hAnsi="宋体" w:cs="宋体" w:hint="eastAsia"/>
          <w:b w:val="0"/>
          <w:bCs/>
          <w:sz w:val="21"/>
          <w:szCs w:val="21"/>
        </w:rPr>
      </w:pPr>
      <w:r>
        <w:rPr>
          <w:rFonts w:ascii="宋体" w:eastAsia="宋体" w:hAnsi="宋体" w:cs="宋体" w:hint="eastAsia"/>
          <w:b w:val="0"/>
          <w:bCs/>
          <w:sz w:val="21"/>
          <w:szCs w:val="21"/>
        </w:rPr>
        <w:t>城镇污水稳定达标运行依靠连续准确的水质监测数据，传统的手工采样、独立在线仪表的方式会造成数据不同步、工艺调控滞后等状况，不能满足A²/O生化工艺动态运行的要求。按照HJ353、HJ355水质监测规范，本文以本地污水厂为载体，研究采样和在线监测的联动技术，确定系统的硬件参数、通讯传输逻辑、水质质控计算公式，建立采样、分析、预警、自控一体化结构。经过改造前后指标的量化对比，检验联动系统应用的价值，解决长期以来监测与生产控制相脱离的行业问题。</w:t>
      </w:r>
    </w:p>
    <w:p w14:paraId="0579BC04">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0"/>
        <w:rPr>
          <w:rFonts w:ascii="宋体" w:eastAsia="宋体" w:hAnsi="宋体" w:cs="宋体" w:hint="eastAsia"/>
          <w:b w:val="0"/>
          <w:bCs/>
          <w:sz w:val="21"/>
          <w:szCs w:val="21"/>
        </w:rPr>
      </w:pPr>
      <w:bookmarkStart w:id="4" w:name="heading_4"/>
      <w:r>
        <w:rPr>
          <w:rFonts w:ascii="宋体" w:eastAsia="宋体" w:hAnsi="宋体" w:cs="宋体" w:hint="eastAsia"/>
          <w:b w:val="0"/>
          <w:bCs/>
          <w:sz w:val="21"/>
          <w:szCs w:val="21"/>
          <w:lang w:val="en-US" w:eastAsia="zh-CN"/>
        </w:rPr>
        <w:t>1</w:t>
      </w:r>
      <w:r>
        <w:rPr>
          <w:rFonts w:ascii="宋体" w:eastAsia="宋体" w:hAnsi="宋体" w:cs="宋体" w:hint="eastAsia"/>
          <w:b w:val="0"/>
          <w:bCs/>
          <w:sz w:val="21"/>
          <w:szCs w:val="21"/>
        </w:rPr>
        <w:t>、污水厂传统独立监测模式运行短板</w:t>
      </w:r>
      <w:bookmarkEnd w:id="4"/>
    </w:p>
    <w:p w14:paraId="39695CA3">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1"/>
        <w:rPr>
          <w:rFonts w:ascii="宋体" w:eastAsia="宋体" w:hAnsi="宋体" w:cs="宋体" w:hint="eastAsia"/>
          <w:b w:val="0"/>
          <w:bCs/>
          <w:sz w:val="21"/>
          <w:szCs w:val="21"/>
        </w:rPr>
      </w:pPr>
      <w:bookmarkStart w:id="5" w:name="heading_5"/>
      <w:r>
        <w:rPr>
          <w:rFonts w:ascii="宋体" w:eastAsia="宋体" w:hAnsi="宋体" w:cs="宋体" w:hint="eastAsia"/>
          <w:b w:val="0"/>
          <w:bCs/>
          <w:sz w:val="21"/>
          <w:szCs w:val="21"/>
        </w:rPr>
        <w:t>1.1 人工采样设备简陋，水样代表性存在量化偏差</w:t>
      </w:r>
      <w:bookmarkEnd w:id="5"/>
    </w:p>
    <w:p w14:paraId="5247BE72">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1"/>
        <w:rPr>
          <w:rFonts w:ascii="宋体" w:eastAsia="宋体" w:hAnsi="宋体" w:cs="宋体" w:hint="eastAsia"/>
          <w:b w:val="0"/>
          <w:bCs/>
          <w:sz w:val="21"/>
          <w:szCs w:val="21"/>
        </w:rPr>
      </w:pPr>
      <w:bookmarkStart w:id="6" w:name="heading_6"/>
      <w:r>
        <w:rPr>
          <w:rFonts w:ascii="宋体" w:eastAsia="宋体" w:hAnsi="宋体" w:cs="宋体" w:hint="eastAsia"/>
          <w:b w:val="0"/>
          <w:bCs/>
          <w:sz w:val="21"/>
          <w:szCs w:val="21"/>
        </w:rPr>
        <w:t>1.2 在线监测设备孤立运行，设备漂移无联动校正机制</w:t>
      </w:r>
      <w:bookmarkEnd w:id="6"/>
    </w:p>
    <w:p w14:paraId="0DAF1E6C">
      <w:pPr>
        <w:keepNext w:val="0"/>
        <w:keepLines w:val="0"/>
        <w:pageBreakBefore w:val="0"/>
        <w:widowControl w:val="0"/>
        <w:kinsoku/>
        <w:wordWrap/>
        <w:overflowPunct/>
        <w:topLinePunct w:val="0"/>
        <w:autoSpaceDE/>
        <w:autoSpaceDN/>
        <w:bidi w:val="0"/>
        <w:adjustRightInd/>
        <w:snapToGrid/>
        <w:spacing w:line="288" w:lineRule="auto"/>
        <w:ind w:left="0" w:firstLine="420" w:firstLineChars="200"/>
        <w:jc w:val="left"/>
        <w:textAlignment w:val="auto"/>
        <w:rPr>
          <w:rFonts w:ascii="宋体" w:eastAsia="宋体" w:hAnsi="宋体" w:cs="宋体" w:hint="eastAsia"/>
          <w:b w:val="0"/>
          <w:bCs/>
          <w:sz w:val="21"/>
          <w:szCs w:val="21"/>
        </w:rPr>
      </w:pPr>
      <w:r>
        <w:rPr>
          <w:rFonts w:ascii="宋体" w:eastAsia="宋体" w:hAnsi="宋体" w:cs="宋体" w:hint="eastAsia"/>
          <w:b w:val="0"/>
          <w:bCs/>
          <w:sz w:val="21"/>
          <w:szCs w:val="21"/>
        </w:rPr>
        <w:t>厂区COD、氨氮在线分析仪只设简易取水软管，没有预留自动化采样对接接口，不能同时采集比对水样，两组监测数据一直存在系统偏差。在线仪表没有自动留样功能，数值超标时不能留存水样用于实验室复核，很难区分水质真实波动和设备漂移故障。设备通讯只支持单向上传环保平台，没有双向信号交互通道，不能接收采样器同步启停、加密留样指令。仪表管路没有自动反冲洗联动程序，污泥一直附着在探头上，月度数据漂移幅度达到10%～18%，规范要求仪表漂移要控制在±5%以内，人工停机清洗校准中断监测连续性。在线系统和厂区PLC自控系统物理隔离，监测数值不能自动传递给曝气、加药单元，运维人员现场查看后手动调节工艺，调控滞后时长&gt;120min，在进水冲击负荷下很容易造成出水超标，设备独立运行模式大大削弱了在线监测的生产指导作用。</w:t>
      </w:r>
    </w:p>
    <w:p w14:paraId="258B7917">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1"/>
        <w:rPr>
          <w:rFonts w:ascii="宋体" w:eastAsia="宋体" w:hAnsi="宋体" w:cs="宋体" w:hint="eastAsia"/>
          <w:b w:val="0"/>
          <w:bCs/>
          <w:sz w:val="21"/>
          <w:szCs w:val="21"/>
        </w:rPr>
      </w:pPr>
      <w:bookmarkStart w:id="7" w:name="heading_7"/>
      <w:r>
        <w:rPr>
          <w:rFonts w:ascii="宋体" w:eastAsia="宋体" w:hAnsi="宋体" w:cs="宋体" w:hint="eastAsia"/>
          <w:b w:val="0"/>
          <w:bCs/>
          <w:sz w:val="21"/>
          <w:szCs w:val="21"/>
        </w:rPr>
        <w:t>1.3 监测数据相互割裂，缺少量化工艺联动调控逻辑</w:t>
      </w:r>
      <w:bookmarkEnd w:id="7"/>
    </w:p>
    <w:p w14:paraId="035848A5">
      <w:pPr>
        <w:keepNext w:val="0"/>
        <w:keepLines w:val="0"/>
        <w:pageBreakBefore w:val="0"/>
        <w:widowControl w:val="0"/>
        <w:kinsoku/>
        <w:wordWrap/>
        <w:overflowPunct/>
        <w:topLinePunct w:val="0"/>
        <w:autoSpaceDE/>
        <w:autoSpaceDN/>
        <w:bidi w:val="0"/>
        <w:adjustRightInd/>
        <w:snapToGrid/>
        <w:spacing w:line="288" w:lineRule="auto"/>
        <w:ind w:left="0" w:firstLine="420" w:firstLineChars="200"/>
        <w:jc w:val="left"/>
        <w:textAlignment w:val="auto"/>
        <w:rPr>
          <w:rFonts w:ascii="宋体" w:eastAsia="宋体" w:hAnsi="宋体" w:cs="宋体" w:hint="eastAsia"/>
          <w:b w:val="0"/>
          <w:bCs/>
          <w:sz w:val="21"/>
          <w:szCs w:val="21"/>
        </w:rPr>
      </w:pPr>
      <w:r>
        <w:rPr>
          <w:rFonts w:ascii="宋体" w:eastAsia="宋体" w:hAnsi="宋体" w:cs="宋体" w:hint="eastAsia"/>
          <w:b w:val="0"/>
          <w:bCs/>
          <w:sz w:val="21"/>
          <w:szCs w:val="21"/>
        </w:rPr>
        <w:t>人工化验、在线监测两套数据各自独立建账，没有统一的中控汇总平台，技术人员需要分别调取纸质记录和设备后台，趋势分析、数据比对效率低。系统没有设置分级联动预警逻辑，在线数值接近一级排放标准的时候不能自动触发加密采样跟踪水质变化。监测数据没有和生化运行参数绑定归档，不能量化的表示COD、氨氮浓度和曝气量、碳源投加量之间的对应关系，工艺调整全部依靠运维经验，没有数据支撑。无闭环处置流程，在线数值异常只弹窗提示，不联动采样设备留存复核水样、不推送运维整改工单，故障识别、处置周期大大延长。根据现场运行统计可知，在传统的管理模式下，异常工况的平均处理时间大于120min，是智能化联动控制标准的两倍以上。数据割裂、联动缺失的管控模式造成监测数据不能为精细化生产服务，不能达到污水厂低能耗稳定达标运行的目的</w:t>
      </w:r>
      <w:r>
        <w:rPr>
          <w:rFonts w:ascii="宋体" w:eastAsia="宋体" w:hAnsi="宋体" w:cs="宋体" w:hint="eastAsia"/>
          <w:b w:val="0"/>
          <w:bCs/>
          <w:sz w:val="21"/>
          <w:szCs w:val="21"/>
          <w:lang w:eastAsia="zh-CN"/>
        </w:rPr>
        <w:t>（</w:t>
      </w:r>
      <w:r>
        <w:rPr>
          <w:rFonts w:ascii="宋体" w:eastAsia="宋体" w:hAnsi="宋体" w:cs="宋体" w:hint="eastAsia"/>
          <w:b w:val="0"/>
          <w:bCs/>
          <w:sz w:val="21"/>
          <w:szCs w:val="21"/>
          <w:lang w:val="en-US" w:eastAsia="zh-CN"/>
        </w:rPr>
        <w:t>表1）</w:t>
      </w:r>
      <w:r>
        <w:rPr>
          <w:rFonts w:ascii="宋体" w:eastAsia="宋体" w:hAnsi="宋体" w:cs="宋体" w:hint="eastAsia"/>
          <w:b w:val="0"/>
          <w:bCs/>
          <w:sz w:val="21"/>
          <w:szCs w:val="21"/>
        </w:rPr>
        <w:t>。</w:t>
      </w:r>
    </w:p>
    <w:p w14:paraId="127B8A7D">
      <w:pPr>
        <w:keepNext w:val="0"/>
        <w:keepLines w:val="0"/>
        <w:pageBreakBefore w:val="0"/>
        <w:widowControl w:val="0"/>
        <w:kinsoku/>
        <w:wordWrap/>
        <w:overflowPunct/>
        <w:topLinePunct w:val="0"/>
        <w:autoSpaceDE/>
        <w:autoSpaceDN/>
        <w:bidi w:val="0"/>
        <w:adjustRightInd/>
        <w:snapToGrid/>
        <w:spacing w:line="288" w:lineRule="auto"/>
        <w:ind w:left="0" w:firstLine="420" w:firstLineChars="200"/>
        <w:jc w:val="left"/>
        <w:textAlignment w:val="auto"/>
        <w:rPr>
          <w:rFonts w:ascii="宋体" w:eastAsia="宋体" w:hAnsi="宋体" w:cs="宋体" w:hint="eastAsia"/>
          <w:b w:val="0"/>
          <w:bCs/>
          <w:sz w:val="21"/>
          <w:szCs w:val="21"/>
        </w:rPr>
      </w:pPr>
    </w:p>
    <w:p w14:paraId="56DA4074">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0"/>
        <w:rPr>
          <w:rFonts w:ascii="宋体" w:eastAsia="宋体" w:hAnsi="宋体" w:cs="宋体" w:hint="eastAsia"/>
          <w:b w:val="0"/>
          <w:bCs/>
          <w:sz w:val="21"/>
          <w:szCs w:val="21"/>
          <w:lang w:val="en-US" w:eastAsia="zh-CN"/>
        </w:rPr>
      </w:pPr>
      <w:bookmarkStart w:id="8" w:name="heading_8"/>
    </w:p>
    <w:p w14:paraId="65B5CDBD">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0"/>
        <w:rPr>
          <w:rFonts w:ascii="宋体" w:eastAsia="宋体" w:hAnsi="宋体" w:cs="宋体" w:hint="eastAsia"/>
          <w:b w:val="0"/>
          <w:bCs/>
          <w:sz w:val="21"/>
          <w:szCs w:val="21"/>
        </w:rPr>
      </w:pPr>
      <w:r>
        <w:rPr>
          <w:rFonts w:ascii="宋体" w:eastAsia="宋体" w:hAnsi="宋体" w:cs="宋体" w:hint="eastAsia"/>
          <w:b w:val="0"/>
          <w:bCs/>
          <w:sz w:val="21"/>
          <w:szCs w:val="21"/>
          <w:lang w:val="en-US" w:eastAsia="zh-CN"/>
        </w:rPr>
        <w:t>2</w:t>
      </w:r>
      <w:r>
        <w:rPr>
          <w:rFonts w:ascii="宋体" w:eastAsia="宋体" w:hAnsi="宋体" w:cs="宋体" w:hint="eastAsia"/>
          <w:b w:val="0"/>
          <w:bCs/>
          <w:sz w:val="21"/>
          <w:szCs w:val="21"/>
        </w:rPr>
        <w:t>、自动化采样与在线监测联动系统工程搭建</w:t>
      </w:r>
      <w:bookmarkEnd w:id="8"/>
    </w:p>
    <w:p w14:paraId="2F51B49A">
      <w:pPr>
        <w:keepNext w:val="0"/>
        <w:keepLines w:val="0"/>
        <w:pageBreakBefore w:val="0"/>
        <w:widowControl w:val="0"/>
        <w:kinsoku/>
        <w:wordWrap/>
        <w:overflowPunct/>
        <w:topLinePunct w:val="0"/>
        <w:autoSpaceDE/>
        <w:autoSpaceDN/>
        <w:bidi w:val="0"/>
        <w:adjustRightInd/>
        <w:snapToGrid/>
        <w:spacing w:line="288" w:lineRule="auto"/>
        <w:jc w:val="left"/>
        <w:textAlignment w:val="auto"/>
        <w:outlineLvl w:val="1"/>
        <w:rPr>
          <w:rFonts w:ascii="宋体" w:eastAsia="宋体" w:hAnsi="宋体" w:cs="宋体" w:hint="eastAsia"/>
          <w:b w:val="0"/>
          <w:bCs/>
          <w:sz w:val="21"/>
          <w:szCs w:val="21"/>
        </w:rPr>
      </w:pPr>
      <w:bookmarkStart w:id="9" w:name="heading_9"/>
      <w:r>
        <w:rPr>
          <w:rFonts w:ascii="宋体" w:eastAsia="宋体" w:hAnsi="宋体" w:cs="宋体" w:hint="eastAsia"/>
          <w:b w:val="0"/>
          <w:bCs/>
          <w:sz w:val="21"/>
          <w:szCs w:val="21"/>
        </w:rPr>
        <w:t>2.1 联动硬件成套改造，统一设备运行关键技术参数</w:t>
      </w:r>
      <w:bookmarkEnd w:id="9"/>
    </w:p>
    <w:p w14:paraId="4CB05263">
      <w:pPr>
        <w:keepNext w:val="0"/>
        <w:keepLines w:val="0"/>
        <w:pageBreakBefore w:val="0"/>
        <w:widowControl w:val="0"/>
        <w:kinsoku/>
        <w:wordWrap/>
        <w:overflowPunct/>
        <w:topLinePunct w:val="0"/>
        <w:autoSpaceDE/>
        <w:autoSpaceDN/>
        <w:bidi w:val="0"/>
        <w:adjustRightInd/>
        <w:snapToGrid/>
        <w:spacing w:line="288" w:lineRule="auto"/>
        <w:ind w:left="0" w:firstLine="420" w:firstLineChars="200"/>
        <w:jc w:val="left"/>
        <w:textAlignment w:val="auto"/>
        <w:rPr>
          <w:rFonts w:ascii="宋体" w:eastAsia="宋体" w:hAnsi="宋体" w:cs="宋体" w:hint="eastAsia"/>
          <w:b w:val="0"/>
          <w:bCs/>
          <w:sz w:val="21"/>
          <w:szCs w:val="21"/>
        </w:rPr>
      </w:pPr>
      <w:r>
        <w:rPr>
          <w:rFonts w:ascii="宋体" w:eastAsia="宋体" w:hAnsi="宋体" w:cs="宋体" w:hint="eastAsia"/>
          <w:b w:val="0"/>
          <w:bCs/>
          <w:sz w:val="21"/>
          <w:szCs w:val="21"/>
        </w:rPr>
        <w:t>在进水、厌氧、缺氧、好氧、二沉、出水六个点位上分别布置了UPVC承压导流管路，配有多路电动切换阀，每个采样器分时采集多池水样，管路流速控制在0.6～1.0m/s之间，防止污泥沉积堵塞管道。采样主机配有RS485信号交互模块，可以和COD、总磷、氨氮在线分析仪双向通信，同步启动或者停止；当仪表出现超标报警的时候，会发出加密留样指令，恒温储样仓会保持4℃，并且有微量固定剂自动加注装置。每次取样前进行3次管路清水润洗，消除水样交叉污染；在线仪表加装4G双向传输模块，采样时间、留样编号同步上传中控。集中建造一体化监测小屋，防护等级IP54适合厂区高腐蚀、高污泥工况。整套硬件不需要大范围的土建施工，只需要加装管路、电控模块，改造工期为15天。硬件配套完成后，采样、在线仪表、中控平台形成完整的数据链路，硬件参数标准化设置从设备层面消除监测系统先天误差。</w:t>
      </w:r>
    </w:p>
    <w:p w14:paraId="0CEBB883">
      <w:pPr>
        <w:keepNext w:val="0"/>
        <w:keepLines w:val="0"/>
        <w:pageBreakBefore w:val="0"/>
        <w:widowControl w:val="0"/>
        <w:kinsoku/>
        <w:wordWrap/>
        <w:overflowPunct/>
        <w:topLinePunct w:val="0"/>
        <w:autoSpaceDE/>
        <w:autoSpaceDN/>
        <w:bidi w:val="0"/>
        <w:adjustRightInd/>
        <w:snapToGrid/>
        <w:spacing w:line="288" w:lineRule="auto"/>
        <w:ind w:left="0" w:firstLine="420" w:firstLineChars="200"/>
        <w:jc w:val="left"/>
        <w:textAlignment w:val="auto"/>
        <w:rPr>
          <w:rFonts w:ascii="宋体" w:eastAsia="宋体" w:hAnsi="宋体" w:cs="宋体" w:hint="eastAsia"/>
          <w:b w:val="0"/>
          <w:bCs/>
          <w:sz w:val="21"/>
          <w:szCs w:val="21"/>
          <w:lang w:eastAsia="zh-CN"/>
        </w:rPr>
      </w:pPr>
    </w:p>
    <w:p w14:paraId="7E6B5F74">
      <w:pPr>
        <w:keepNext w:val="0"/>
        <w:keepLines w:val="0"/>
        <w:pageBreakBefore w:val="0"/>
        <w:widowControl w:val="0"/>
        <w:kinsoku/>
        <w:wordWrap/>
        <w:overflowPunct/>
        <w:topLinePunct w:val="0"/>
        <w:autoSpaceDE/>
        <w:autoSpaceDN/>
        <w:bidi w:val="0"/>
        <w:adjustRightInd/>
        <w:snapToGrid/>
        <w:spacing w:line="288" w:lineRule="auto"/>
        <w:ind w:left="0" w:firstLine="420" w:firstLineChars="200"/>
        <w:jc w:val="center"/>
        <w:textAlignment w:val="auto"/>
        <w:rPr>
          <w:rFonts w:ascii="宋体" w:eastAsia="宋体" w:hAnsi="宋体" w:cs="宋体" w:hint="default"/>
          <w:b w:val="0"/>
          <w:bCs/>
          <w:sz w:val="21"/>
          <w:szCs w:val="21"/>
          <w:lang w:val="en-US" w:eastAsia="zh-CN"/>
        </w:rPr>
      </w:pPr>
      <w:r>
        <w:rPr>
          <w:rFonts w:ascii="宋体" w:eastAsia="宋体" w:hAnsi="宋体" w:cs="宋体" w:hint="eastAsia"/>
          <w:b w:val="0"/>
          <w:bCs/>
          <w:sz w:val="21"/>
          <w:szCs w:val="21"/>
          <w:lang w:val="en-US" w:eastAsia="zh-CN"/>
        </w:rPr>
        <w:t>图 1 自动化采样与在线监测联动系统整体工程架构图</w:t>
      </w:r>
    </w:p>
    <w:p w14:paraId="52E9DAD7">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1"/>
        <w:rPr>
          <w:rFonts w:ascii="宋体" w:eastAsia="宋体" w:hAnsi="宋体" w:cs="宋体" w:hint="eastAsia"/>
          <w:b w:val="0"/>
          <w:bCs/>
          <w:sz w:val="21"/>
          <w:szCs w:val="21"/>
        </w:rPr>
      </w:pPr>
      <w:bookmarkStart w:id="10" w:name="heading_10"/>
      <w:r>
        <w:rPr>
          <w:rFonts w:ascii="宋体" w:eastAsia="宋体" w:hAnsi="宋体" w:cs="宋体" w:hint="eastAsia"/>
          <w:b w:val="0"/>
          <w:bCs/>
          <w:sz w:val="21"/>
          <w:szCs w:val="21"/>
        </w:rPr>
        <w:t>2.2 多设备通讯集成工艺，构建统一数据交互质控框架</w:t>
      </w:r>
      <w:bookmarkEnd w:id="10"/>
    </w:p>
    <w:p w14:paraId="15B8E725">
      <w:pPr>
        <w:keepNext w:val="0"/>
        <w:keepLines w:val="0"/>
        <w:pageBreakBefore w:val="0"/>
        <w:widowControl w:val="0"/>
        <w:kinsoku/>
        <w:wordWrap/>
        <w:overflowPunct/>
        <w:topLinePunct w:val="0"/>
        <w:autoSpaceDE/>
        <w:autoSpaceDN/>
        <w:bidi w:val="0"/>
        <w:adjustRightInd/>
        <w:snapToGrid/>
        <w:spacing w:line="288" w:lineRule="auto"/>
        <w:ind w:left="0" w:firstLine="420" w:firstLineChars="200"/>
        <w:jc w:val="left"/>
        <w:textAlignment w:val="auto"/>
        <w:rPr>
          <w:rFonts w:ascii="宋体" w:eastAsia="宋体" w:hAnsi="宋体" w:cs="宋体" w:hint="eastAsia"/>
          <w:b w:val="0"/>
          <w:bCs/>
          <w:sz w:val="21"/>
          <w:szCs w:val="21"/>
        </w:rPr>
      </w:pPr>
      <w:bookmarkStart w:id="11" w:name="_GoBack"/>
      <w:bookmarkEnd w:id="11"/>
    </w:p>
    <w:p w14:paraId="145D1CA5">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1"/>
        <w:rPr>
          <w:rFonts w:ascii="宋体" w:eastAsia="宋体" w:hAnsi="宋体" w:cs="宋体" w:hint="eastAsia"/>
          <w:b w:val="0"/>
          <w:bCs/>
          <w:sz w:val="21"/>
          <w:szCs w:val="21"/>
        </w:rPr>
      </w:pPr>
      <w:bookmarkStart w:id="12" w:name="heading_11"/>
      <w:r>
        <w:rPr>
          <w:rFonts w:ascii="宋体" w:eastAsia="宋体" w:hAnsi="宋体" w:cs="宋体" w:hint="eastAsia"/>
          <w:b w:val="0"/>
          <w:bCs/>
          <w:sz w:val="21"/>
          <w:szCs w:val="21"/>
        </w:rPr>
        <w:t>2.3 水质监测与生化工艺联动调控量化逻辑</w:t>
      </w:r>
      <w:bookmarkEnd w:id="12"/>
    </w:p>
    <w:p w14:paraId="26282AA3">
      <w:pPr>
        <w:keepNext w:val="0"/>
        <w:keepLines w:val="0"/>
        <w:pageBreakBefore w:val="0"/>
        <w:widowControl w:val="0"/>
        <w:kinsoku/>
        <w:wordWrap/>
        <w:overflowPunct/>
        <w:topLinePunct w:val="0"/>
        <w:autoSpaceDE/>
        <w:autoSpaceDN/>
        <w:bidi w:val="0"/>
        <w:adjustRightInd/>
        <w:snapToGrid/>
        <w:spacing w:line="288" w:lineRule="auto"/>
        <w:ind w:left="0" w:firstLine="420" w:firstLineChars="200"/>
        <w:jc w:val="left"/>
        <w:textAlignment w:val="auto"/>
        <w:rPr>
          <w:rFonts w:ascii="宋体" w:eastAsia="宋体" w:hAnsi="宋体" w:cs="宋体" w:hint="eastAsia"/>
          <w:b w:val="0"/>
          <w:bCs/>
          <w:sz w:val="21"/>
          <w:szCs w:val="21"/>
        </w:rPr>
      </w:pPr>
      <w:r>
        <w:rPr>
          <w:rFonts w:ascii="宋体" w:eastAsia="宋体" w:hAnsi="宋体" w:cs="宋体" w:hint="eastAsia"/>
          <w:b w:val="0"/>
          <w:bCs/>
          <w:sz w:val="21"/>
          <w:szCs w:val="21"/>
        </w:rPr>
        <w:t>中控系统嵌入了联动控制程序，用实时水质数据来自动调节生化设备的运行工况。在线氨氮、总磷接近一级A限值时，系统联动采样器每30min加密采样，同时提高除磷药剂、外加碳源投加泵的运行频率；生化池DO值低于1mg/L时，自动提高曝气风机转速，溶解氧控制区间保持在2～3mg/L。进水COD瞬间冲击增大时，采样器改用等比例混合采样方式，高频连续监测预判污泥负荷，并且推送运维提醒。设置三级分级预警联动机制，一级预警只加密采样，二级预警同时推送移动端工单、留存复核水样，三级超标预警24h连续留样，降低进水泵负荷减小生化冲击。整套流程形成自动采样、在线分析、分级预警、工艺自控、留样复核闭环，彻底解决了监测和生产调控脱节的问题，依靠量化联动逻辑实现污水厂智能化稳定运行。</w:t>
      </w:r>
    </w:p>
    <w:p w14:paraId="63D8FFFF">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0"/>
        <w:rPr>
          <w:rFonts w:ascii="宋体" w:eastAsia="宋体" w:hAnsi="宋体" w:cs="宋体" w:hint="eastAsia"/>
          <w:b w:val="0"/>
          <w:bCs/>
          <w:sz w:val="21"/>
          <w:szCs w:val="21"/>
        </w:rPr>
      </w:pPr>
      <w:bookmarkStart w:id="13" w:name="heading_12"/>
      <w:r>
        <w:rPr>
          <w:rFonts w:ascii="宋体" w:eastAsia="宋体" w:hAnsi="宋体" w:cs="宋体" w:hint="eastAsia"/>
          <w:b w:val="0"/>
          <w:bCs/>
          <w:sz w:val="21"/>
          <w:szCs w:val="21"/>
          <w:lang w:val="en-US" w:eastAsia="zh-CN"/>
        </w:rPr>
        <w:t>3</w:t>
      </w:r>
      <w:r>
        <w:rPr>
          <w:rFonts w:ascii="宋体" w:eastAsia="宋体" w:hAnsi="宋体" w:cs="宋体" w:hint="eastAsia"/>
          <w:b w:val="0"/>
          <w:bCs/>
          <w:sz w:val="21"/>
          <w:szCs w:val="21"/>
        </w:rPr>
        <w:t>、联动系统标准化运维保障与工程应用成效</w:t>
      </w:r>
      <w:bookmarkEnd w:id="13"/>
    </w:p>
    <w:p w14:paraId="4BE259FE">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1"/>
        <w:rPr>
          <w:rFonts w:ascii="宋体" w:eastAsia="宋体" w:hAnsi="宋体" w:cs="宋体" w:hint="eastAsia"/>
          <w:b w:val="0"/>
          <w:bCs/>
          <w:sz w:val="21"/>
          <w:szCs w:val="21"/>
        </w:rPr>
      </w:pPr>
      <w:bookmarkStart w:id="14" w:name="heading_13"/>
      <w:r>
        <w:rPr>
          <w:rFonts w:ascii="宋体" w:eastAsia="宋体" w:hAnsi="宋体" w:cs="宋体" w:hint="eastAsia"/>
          <w:b w:val="0"/>
          <w:bCs/>
          <w:sz w:val="21"/>
          <w:szCs w:val="21"/>
        </w:rPr>
        <w:t>3.1 分级标准化运维流程，保障联动设备长期稳定运行</w:t>
      </w:r>
      <w:bookmarkEnd w:id="14"/>
    </w:p>
    <w:p w14:paraId="58DA0721">
      <w:pPr>
        <w:keepNext w:val="0"/>
        <w:keepLines w:val="0"/>
        <w:pageBreakBefore w:val="0"/>
        <w:widowControl w:val="0"/>
        <w:kinsoku/>
        <w:wordWrap/>
        <w:overflowPunct/>
        <w:topLinePunct w:val="0"/>
        <w:autoSpaceDE/>
        <w:autoSpaceDN/>
        <w:bidi w:val="0"/>
        <w:adjustRightInd/>
        <w:snapToGrid/>
        <w:spacing w:line="288" w:lineRule="auto"/>
        <w:ind w:left="0" w:firstLine="420" w:firstLineChars="200"/>
        <w:jc w:val="left"/>
        <w:textAlignment w:val="auto"/>
        <w:rPr>
          <w:rFonts w:ascii="宋体" w:eastAsia="宋体" w:hAnsi="宋体" w:cs="宋体" w:hint="eastAsia"/>
          <w:b w:val="0"/>
          <w:bCs/>
          <w:sz w:val="21"/>
          <w:szCs w:val="21"/>
        </w:rPr>
      </w:pPr>
      <w:r>
        <w:rPr>
          <w:rFonts w:ascii="宋体" w:eastAsia="宋体" w:hAnsi="宋体" w:cs="宋体" w:hint="eastAsia"/>
          <w:b w:val="0"/>
          <w:bCs/>
          <w:sz w:val="21"/>
          <w:szCs w:val="21"/>
        </w:rPr>
        <w:t>划分日、周、月三级运维规程，设置自动化采样、在线分析仪、中控通讯专职运维人员。每天远程校验设备同步信号，防止采样、在线仪表启停错位；每周现场清理管路污泥淤积，检查恒温储样仓温控精度，做一次全自动管路反冲洗；每月进行系统联动校准，同步采集空白水样、标准水样进行比对，修正设备系统偏差。创建电子化的运维台账，对管路清洗、仪表标定、耗材更换、通讯检修等所有的操作都进行详细的记录，所有的监测和运维数据都可以追溯。制定故障应急处理方案，当采样设备出现故障的时候，用在线仪表进行独立监测，同时提高仪表校准的频次；在线分析仪出现故障的时候，采样器加密留样，实验室批量检测来填补监测的空白。定期组织实操培训，包含通讯调试、故障排查、采样参数设定等各个方面的内容，标准化运维流程可以有效地降低联动系统故障率，保证全年不间断的连续监测。</w:t>
      </w:r>
    </w:p>
    <w:p w14:paraId="1A7BCF86">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1"/>
        <w:rPr>
          <w:rFonts w:ascii="宋体" w:eastAsia="宋体" w:hAnsi="宋体" w:cs="宋体" w:hint="eastAsia"/>
          <w:b w:val="0"/>
          <w:bCs/>
          <w:sz w:val="21"/>
          <w:szCs w:val="21"/>
        </w:rPr>
      </w:pPr>
      <w:bookmarkStart w:id="15" w:name="heading_14"/>
      <w:r>
        <w:rPr>
          <w:rFonts w:ascii="宋体" w:eastAsia="宋体" w:hAnsi="宋体" w:cs="宋体" w:hint="eastAsia"/>
          <w:b w:val="0"/>
          <w:bCs/>
          <w:sz w:val="21"/>
          <w:szCs w:val="21"/>
        </w:rPr>
        <w:t>3.2 采样 - 在线联动配套全过程水质质控体系</w:t>
      </w:r>
      <w:bookmarkEnd w:id="15"/>
    </w:p>
    <w:p w14:paraId="6D46C02F">
      <w:pPr>
        <w:keepNext w:val="0"/>
        <w:keepLines w:val="0"/>
        <w:pageBreakBefore w:val="0"/>
        <w:widowControl w:val="0"/>
        <w:kinsoku/>
        <w:wordWrap/>
        <w:overflowPunct/>
        <w:topLinePunct w:val="0"/>
        <w:autoSpaceDE/>
        <w:autoSpaceDN/>
        <w:bidi w:val="0"/>
        <w:adjustRightInd/>
        <w:snapToGrid/>
        <w:spacing w:line="288" w:lineRule="auto"/>
        <w:ind w:left="0" w:firstLine="420" w:firstLineChars="200"/>
        <w:jc w:val="left"/>
        <w:textAlignment w:val="auto"/>
        <w:rPr>
          <w:rFonts w:ascii="宋体" w:eastAsia="宋体" w:hAnsi="宋体" w:cs="宋体" w:hint="eastAsia"/>
          <w:b w:val="0"/>
          <w:bCs/>
          <w:sz w:val="21"/>
          <w:szCs w:val="21"/>
        </w:rPr>
      </w:pPr>
      <w:r>
        <w:rPr>
          <w:rFonts w:ascii="宋体" w:eastAsia="宋体" w:hAnsi="宋体" w:cs="宋体" w:hint="eastAsia"/>
          <w:b w:val="0"/>
          <w:bCs/>
          <w:sz w:val="21"/>
          <w:szCs w:val="21"/>
        </w:rPr>
        <w:t>依靠同步采样的优势建立全新的闭环质控体系，取代原来的分开采样、分开检测的粗放式控制方式。系统每次采样都会自动生成一个平行水样，一组在线快速检测，一组冷藏送检实验室，实时计算相对偏差进行质控判定；在线仪表每周标样核查同时联动空白水样，消除管路、试剂带来的系统误差。管路自动润洗、恒温储样硬件从源头上防止水样被污染或者有机物降解，保证在线和实验室水样的基质一致，提高数据比对的可靠性。统一全系统质控参数，对在线仪表零点、量程每三个月用标准水样校准，对自动采样器等比例流量、润洗时长每季度校准。中控每月底自动生成质控报表，统计平行样偏差、标样合格率、设备联动故障率等量化指标，做为运维考核依据。软硬件配套全过程质控手段把整体监测误差控制在规范允许范围内，大大提高了水质监测数据的有效性。</w:t>
      </w:r>
    </w:p>
    <w:p w14:paraId="293DB357">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1"/>
        <w:rPr>
          <w:rFonts w:ascii="宋体" w:eastAsia="宋体" w:hAnsi="宋体" w:cs="宋体" w:hint="eastAsia"/>
          <w:b w:val="0"/>
          <w:bCs/>
          <w:sz w:val="21"/>
          <w:szCs w:val="21"/>
        </w:rPr>
      </w:pPr>
      <w:bookmarkStart w:id="16" w:name="heading_15"/>
      <w:r>
        <w:rPr>
          <w:rFonts w:ascii="宋体" w:eastAsia="宋体" w:hAnsi="宋体" w:cs="宋体" w:hint="eastAsia"/>
          <w:b w:val="0"/>
          <w:bCs/>
          <w:sz w:val="21"/>
          <w:szCs w:val="21"/>
        </w:rPr>
        <w:t>3.3 改造工程综合效益量化对比分析</w:t>
      </w:r>
      <w:bookmarkEnd w:id="16"/>
    </w:p>
    <w:p w14:paraId="0F72BFC6">
      <w:pPr>
        <w:keepNext w:val="0"/>
        <w:keepLines w:val="0"/>
        <w:pageBreakBefore w:val="0"/>
        <w:widowControl w:val="0"/>
        <w:kinsoku/>
        <w:wordWrap/>
        <w:overflowPunct/>
        <w:topLinePunct w:val="0"/>
        <w:autoSpaceDE/>
        <w:autoSpaceDN/>
        <w:bidi w:val="0"/>
        <w:adjustRightInd/>
        <w:snapToGrid/>
        <w:spacing w:line="288" w:lineRule="auto"/>
        <w:ind w:left="0" w:firstLine="420" w:firstLineChars="200"/>
        <w:jc w:val="left"/>
        <w:textAlignment w:val="auto"/>
        <w:outlineLvl w:val="1"/>
        <w:rPr>
          <w:rFonts w:ascii="宋体" w:eastAsia="宋体" w:hAnsi="宋体" w:cs="宋体" w:hint="eastAsia"/>
          <w:b w:val="0"/>
          <w:bCs/>
          <w:sz w:val="21"/>
          <w:szCs w:val="21"/>
        </w:rPr>
      </w:pPr>
      <w:bookmarkStart w:id="17" w:name="heading_16"/>
      <w:r>
        <w:rPr>
          <w:rFonts w:ascii="宋体" w:eastAsia="宋体" w:hAnsi="宋体" w:cs="宋体" w:hint="eastAsia"/>
          <w:b w:val="0"/>
          <w:bCs/>
          <w:sz w:val="21"/>
          <w:szCs w:val="21"/>
        </w:rPr>
        <w:t>结束语</w:t>
      </w:r>
      <w:bookmarkEnd w:id="17"/>
    </w:p>
    <w:p w14:paraId="46A05805">
      <w:pPr>
        <w:keepNext w:val="0"/>
        <w:keepLines w:val="0"/>
        <w:pageBreakBefore w:val="0"/>
        <w:widowControl w:val="0"/>
        <w:kinsoku/>
        <w:wordWrap/>
        <w:overflowPunct/>
        <w:topLinePunct w:val="0"/>
        <w:autoSpaceDE/>
        <w:autoSpaceDN/>
        <w:bidi w:val="0"/>
        <w:adjustRightInd/>
        <w:snapToGrid/>
        <w:spacing w:line="288" w:lineRule="auto"/>
        <w:ind w:left="0" w:firstLine="420" w:firstLineChars="200"/>
        <w:jc w:val="left"/>
        <w:textAlignment w:val="auto"/>
        <w:rPr>
          <w:rFonts w:ascii="宋体" w:eastAsia="宋体" w:hAnsi="宋体" w:cs="宋体" w:hint="eastAsia"/>
          <w:b w:val="0"/>
          <w:bCs/>
          <w:sz w:val="21"/>
          <w:szCs w:val="21"/>
        </w:rPr>
      </w:pPr>
      <w:r>
        <w:rPr>
          <w:rFonts w:ascii="宋体" w:eastAsia="宋体" w:hAnsi="宋体" w:cs="宋体" w:hint="eastAsia"/>
          <w:b w:val="0"/>
          <w:bCs/>
          <w:sz w:val="21"/>
          <w:szCs w:val="21"/>
        </w:rPr>
        <w:t>本文针对传统污水厂采样、在线监测设备独立运行、数据偏差大、工艺调控滞后等现状，建立自动化采样和在线监测联动系统，确定管路流速、恒温储样、仪表校准等关键技术参数，采用平行样相对偏差计算公式作为水质质控评判依据，从硬件配套、通讯集成、工艺联动三个方面完成三层工程改造。实测数据表明，联动系统可以有效地减小监测数据的误差，根据实时的水质参数自动调节生化设备，减少水电药剂的消耗。该种改造方案施工方便、投入少，可以给同规模城镇污水厂水质监测智能化升级提供完整的工程实践依据。</w:t>
      </w:r>
    </w:p>
    <w:p w14:paraId="0F23835B">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rPr>
          <w:rFonts w:ascii="宋体" w:eastAsia="宋体" w:hAnsi="宋体" w:cs="宋体" w:hint="eastAsia"/>
          <w:b w:val="0"/>
          <w:bCs/>
          <w:sz w:val="24"/>
          <w:szCs w:val="24"/>
        </w:rPr>
      </w:pPr>
    </w:p>
    <w:sectPr>
      <w:headerReference w:type="default" r:id="rId4"/>
      <w:footerReference w:type="default" r:id="rId5"/>
      <w:pgSz w:w="11905" w:h="16840"/>
      <w:pgMar w:header="720" w:footer="720"/>
      <w:cols w:num="1"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DejaVu Math TeX Gyre">
    <w:panose1 w:val="02000503000000000000"/>
    <w:charset w:val="00"/>
    <w:family w:val="auto"/>
    <w:pitch w:val="default"/>
    <w:sig w:usb0="A10000EF" w:usb1="4201F9EE" w:usb2="02000000" w:usb3="00000000" w:csb0="60000193" w:csb1="0DD4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1745BEB0"/>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B18A3C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4"/>
  <w:defaultTabStop w:val="720"/>
  <w:noPunctuationKerning/>
  <w:characterSpacingControl w:val="doNotCompres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CFD63765"/>
    <w:rsid w:val="D57F6333"/>
    <w:rsid w:val="DD4C88F6"/>
    <w:rsid w:val="EDFB322C"/>
    <w:rsid w:val="FEB9E38F"/>
    <w:rsid w:val="1AFB337C"/>
    <w:rsid w:val="63FBAEDD"/>
    <w:rsid w:val="69EFFBAE"/>
    <w:rsid w:val="6CED2009"/>
    <w:rsid w:val="7A378D1D"/>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宋体" w:hAnsi="Times New Roman" w:cs="Times New Roman"/>
      <w:sz w:val="21"/>
      <w:szCs w:val="2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6</TotalTime>
  <Pages>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微信用户</cp:lastModifiedBy>
  <cp:revision>0</cp:revision>
  <dcterms:created xsi:type="dcterms:W3CDTF">2026-07-08T16:56:00Z</dcterms:created>
  <dcterms:modified xsi:type="dcterms:W3CDTF">2026-07-07T09:14:22Z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{"Label":"1","ContentProducer":"001191110102MACQD9K64010000","ProduceID":"7659583599281327036","ReservedCode1":"","ContentPropagator":"","PropagateID":"","ReservedCode2":""}</vt:lpwstr>
  </property>
  <property fmtid="{D5CDD505-2E9C-101B-9397-08002B2CF9AE}" pid="3" name="ICV">
    <vt:lpwstr>A56F1FA4F00F81E239514C6ACE688F93_43</vt:lpwstr>
  </property>
  <property fmtid="{D5CDD505-2E9C-101B-9397-08002B2CF9AE}" pid="4" name="KSOProductBuildVer">
    <vt:lpwstr>2052-12.1.25869.25869</vt:lpwstr>
  </property>
</Properties>
</file>