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1.0 -->
  <w:body>
    <w:p w14:paraId="58641036">
      <w:pPr>
        <w:spacing w:line="340" w:lineRule="exact"/>
        <w:ind w:firstLine="400" w:firstLineChars="200"/>
        <w:rPr>
          <w:rFonts w:ascii="宋体" w:eastAsia="宋体" w:hAnsi="宋体" w:hint="eastAsia"/>
          <w:color w:val="0000FF"/>
          <w:sz w:val="20"/>
        </w:rPr>
      </w:pPr>
    </w:p>
    <w:p w14:paraId="3D712D6E">
      <w:pPr>
        <w:spacing w:line="340" w:lineRule="exact"/>
        <w:ind w:firstLine="400" w:firstLineChars="200"/>
        <w:rPr>
          <w:rFonts w:ascii="宋体" w:eastAsia="宋体" w:hAnsi="宋体" w:hint="eastAsia"/>
          <w:color w:val="0000FF"/>
          <w:sz w:val="20"/>
          <w:highlight w:val="yellow"/>
          <w:lang w:val="en-US" w:eastAsia="zh-CN"/>
        </w:rPr>
      </w:pPr>
    </w:p>
    <w:p w14:paraId="77CA9A3A">
      <w:pPr>
        <w:spacing w:line="340" w:lineRule="exact"/>
        <w:ind w:firstLine="400" w:firstLineChars="200"/>
        <w:rPr>
          <w:rFonts w:ascii="宋体" w:eastAsia="宋体" w:hAnsi="宋体" w:hint="eastAsia"/>
          <w:color w:val="0000FF"/>
          <w:sz w:val="20"/>
          <w:highlight w:val="yellow"/>
          <w:lang w:val="en-US" w:eastAsia="zh-CN"/>
        </w:rPr>
      </w:pPr>
      <w:bookmarkStart w:id="0" w:name="_GoBack"/>
      <w:bookmarkEnd w:id="0"/>
      <w:r>
        <w:rPr>
          <w:rFonts w:ascii="宋体" w:eastAsia="宋体" w:hAnsi="宋体" w:hint="eastAsia"/>
          <w:color w:val="0000FF"/>
          <w:sz w:val="20"/>
          <w:highlight w:val="yellow"/>
          <w:lang w:val="en-US" w:eastAsia="zh-CN"/>
        </w:rPr>
        <w:t>作为非对称加密范式的典型代表，RSA的安全根基源于数论中大素数乘积分解的计算复杂性，现已成为数字签名与身份验证领域应用最为普及的算法架构。该算法以公开密钥实现数据加密，而私有密钥专司解密之职，其密钥分配机制天然高效，公钥可自由流通，仅需确保私钥妥善保管，即可维系整体安全架构。然而，其加解密过程运算迟缓，面对海量信息时，将显著占用系统算力资源。</w:t>
      </w:r>
    </w:p>
    <w:p w14:paraId="4E764AD8">
      <w:pPr>
        <w:spacing w:line="340" w:lineRule="exact"/>
        <w:ind w:firstLine="400" w:firstLineChars="200"/>
        <w:rPr>
          <w:rFonts w:ascii="宋体" w:eastAsia="宋体" w:hAnsi="宋体" w:hint="eastAsia"/>
          <w:color w:val="0000FF"/>
          <w:sz w:val="20"/>
          <w:highlight w:val="yellow"/>
          <w:lang w:val="en-US" w:eastAsia="zh-CN"/>
        </w:rPr>
      </w:pPr>
    </w:p>
    <w:p w14:paraId="5555E4E8">
      <w:pPr>
        <w:spacing w:line="340" w:lineRule="exact"/>
        <w:ind w:firstLine="400" w:firstLineChars="200"/>
        <w:rPr>
          <w:rFonts w:ascii="宋体" w:eastAsia="宋体" w:hAnsi="宋体" w:hint="eastAsia"/>
          <w:color w:val="0000FF"/>
          <w:sz w:val="20"/>
          <w:highlight w:val="yellow"/>
          <w:lang w:val="en-US" w:eastAsia="zh-CN"/>
        </w:rPr>
      </w:pPr>
    </w:p>
    <w:p w14:paraId="72AAE144">
      <w:pPr>
        <w:spacing w:line="340" w:lineRule="exact"/>
        <w:ind w:firstLine="400" w:firstLineChars="200"/>
        <w:rPr>
          <w:rFonts w:ascii="宋体" w:eastAsia="宋体" w:hAnsi="宋体" w:hint="eastAsia"/>
          <w:color w:val="0000FF"/>
          <w:sz w:val="20"/>
        </w:rPr>
      </w:pPr>
      <w:r>
        <w:rPr>
          <w:rFonts w:ascii="宋体" w:eastAsia="宋体" w:hAnsi="宋体" w:hint="eastAsia"/>
          <w:color w:val="0000FF"/>
          <w:sz w:val="20"/>
          <w:highlight w:val="yellow"/>
          <w:lang w:val="en-US" w:eastAsia="zh-CN"/>
        </w:rPr>
        <w:t>相较RSA，ECC在等效安全水平下可采用更精简的密钥规模，显著降低运算负荷与存储开销，尤其契合物联网终端及移动装置等资源受限环境</w:t>
      </w:r>
      <w:r>
        <w:rPr>
          <w:rFonts w:ascii="宋体" w:eastAsia="宋体" w:hAnsi="宋体" w:hint="eastAsia"/>
          <w:color w:val="0000FF"/>
          <w:sz w:val="20"/>
          <w:highlight w:val="yellow"/>
          <w:vertAlign w:val="superscript"/>
          <w:lang w:val="en-US" w:eastAsia="zh-CN"/>
        </w:rPr>
        <w:t>[2]</w:t>
      </w:r>
      <w:r>
        <w:rPr>
          <w:rFonts w:ascii="宋体" w:eastAsia="宋体" w:hAnsi="宋体" w:hint="eastAsia"/>
          <w:color w:val="0000FF"/>
          <w:sz w:val="20"/>
          <w:highlight w:val="yellow"/>
          <w:lang w:val="en-US" w:eastAsia="zh-CN"/>
        </w:rPr>
        <w:t>。其安全保障源于椭圆曲线离散对数难题，加解密全程依托曲线上点的代数操作完成。</w:t>
      </w:r>
    </w:p>
    <w:p w14:paraId="69F87716">
      <w:pPr>
        <w:spacing w:line="340" w:lineRule="exact"/>
        <w:ind w:firstLine="400" w:firstLineChars="200"/>
        <w:rPr>
          <w:rFonts w:ascii="宋体" w:eastAsia="宋体" w:hAnsi="宋体" w:hint="eastAsia"/>
          <w:color w:val="0000FF"/>
          <w:sz w:val="20"/>
          <w:highlight w:val="yellow"/>
          <w:lang w:val="en-US" w:eastAsia="zh-CN"/>
        </w:rPr>
      </w:pPr>
    </w:p>
    <w:p w14:paraId="6DCFFB7C">
      <w:pPr>
        <w:spacing w:line="340" w:lineRule="exact"/>
        <w:ind w:firstLine="400" w:firstLineChars="200"/>
        <w:rPr>
          <w:rFonts w:ascii="宋体" w:eastAsia="宋体" w:hAnsi="宋体" w:hint="eastAsia"/>
          <w:color w:val="0000FF"/>
          <w:sz w:val="20"/>
          <w:highlight w:val="yellow"/>
          <w:lang w:val="en-US" w:eastAsia="zh-CN"/>
        </w:rPr>
      </w:pPr>
    </w:p>
    <w:p w14:paraId="0BD89CE3">
      <w:pPr>
        <w:spacing w:line="340" w:lineRule="exact"/>
        <w:ind w:firstLine="400" w:firstLineChars="200"/>
        <w:rPr>
          <w:rFonts w:ascii="宋体" w:eastAsia="宋体" w:hAnsi="宋体" w:hint="eastAsia"/>
          <w:color w:val="0000FF"/>
          <w:sz w:val="20"/>
        </w:rPr>
      </w:pPr>
      <w:r>
        <w:rPr>
          <w:rFonts w:ascii="宋体" w:eastAsia="宋体" w:hAnsi="宋体" w:hint="eastAsia"/>
          <w:color w:val="0000FF"/>
          <w:sz w:val="20"/>
          <w:highlight w:val="yellow"/>
          <w:lang w:val="en-US" w:eastAsia="zh-CN"/>
        </w:rPr>
        <w:t>此类攻击常依托社交工程或系统漏洞，逐步潜入目标环境，最终实现对关键信息的非法获取。传统依赖防火墙与入侵监测等外围防御机制，难以有效识别并拦截此类高度隐匿且持续周期长的渗透活动。在APT攻击链条中，数据加密主要作用于存储与传输两大环节。采用端到端加密机制，即便通信内容遭截取，敌手亦难窥探其机密内涵；针对静态数据，AES256等算法能有效阻断入侵者从数据库中直接提取原始信息；若辅以健全的密钥管理架构，系统整体防护能力将显著增强。即便部分密钥外泄，入侵者亦难以全面破译所涉数据。</w:t>
      </w:r>
    </w:p>
    <w:p w14:paraId="6BC5FF4C">
      <w:pPr>
        <w:spacing w:line="340" w:lineRule="exact"/>
        <w:ind w:firstLine="400" w:firstLineChars="200"/>
        <w:rPr>
          <w:rFonts w:ascii="宋体" w:eastAsia="宋体" w:hAnsi="宋体" w:hint="eastAsia"/>
          <w:color w:val="0000FF"/>
          <w:sz w:val="20"/>
          <w:highlight w:val="yellow"/>
          <w:lang w:val="en-US" w:eastAsia="zh-CN"/>
        </w:rPr>
      </w:pPr>
    </w:p>
    <w:p w14:paraId="77EBDD23">
      <w:pPr>
        <w:spacing w:line="340" w:lineRule="exact"/>
        <w:ind w:firstLine="400" w:firstLineChars="200"/>
        <w:rPr>
          <w:rFonts w:ascii="宋体" w:eastAsia="宋体" w:hAnsi="宋体" w:hint="eastAsia"/>
          <w:color w:val="0000FF"/>
          <w:sz w:val="20"/>
          <w:highlight w:val="yellow"/>
          <w:lang w:val="en-US" w:eastAsia="zh-CN"/>
        </w:rPr>
      </w:pPr>
    </w:p>
    <w:p w14:paraId="721E4ABB">
      <w:pPr>
        <w:spacing w:line="340" w:lineRule="exact"/>
        <w:ind w:firstLine="400" w:firstLineChars="200"/>
        <w:rPr>
          <w:rFonts w:ascii="宋体" w:eastAsia="宋体" w:hAnsi="宋体" w:hint="eastAsia"/>
          <w:color w:val="0000FF"/>
          <w:sz w:val="20"/>
          <w:highlight w:val="yellow"/>
        </w:rPr>
      </w:pPr>
      <w:r>
        <w:rPr>
          <w:rFonts w:ascii="宋体" w:eastAsia="宋体" w:hAnsi="宋体" w:hint="eastAsia"/>
          <w:color w:val="0000FF"/>
          <w:sz w:val="20"/>
          <w:highlight w:val="yellow"/>
          <w:lang w:val="en-US" w:eastAsia="zh-CN"/>
        </w:rPr>
        <w:t>借助属性基或同态加密机制，可达成精细化的权限管理。数据拥有者能自定义访问规则，如限定仅财务岗位成员方可解密特定信息，即便数据遭未授权方窃取，亦无法破译内容。引入量子随机数生成技术，可显著增强密钥熵值，大幅降低暴力攻击奏效概率。在零信任框架中，数据加密不仅强化了信息本体的防护能力，亦契合当代组织对混合办公与多云部署的适配要求。无论人员所处位置，其数据访问均需经由加密链路完成通信，确保信息于流转及静止阶段始终处于严密管控之下，从而有效遏制内生泄密隐患与外部入侵威胁。</w:t>
      </w:r>
    </w:p>
    <w:p w14:paraId="59C7F325">
      <w:pPr>
        <w:spacing w:line="340" w:lineRule="exact"/>
        <w:ind w:firstLine="400" w:firstLineChars="200"/>
        <w:rPr>
          <w:rFonts w:ascii="宋体" w:eastAsia="宋体" w:hAnsi="宋体" w:hint="eastAsia"/>
          <w:color w:val="0000FF"/>
          <w:sz w:val="20"/>
          <w:highlight w:val="yellow"/>
          <w:lang w:val="en-US" w:eastAsia="zh-CN"/>
        </w:rPr>
      </w:pPr>
    </w:p>
    <w:p w14:paraId="40A2BD79">
      <w:pPr>
        <w:spacing w:line="340" w:lineRule="exact"/>
        <w:ind w:firstLine="400" w:firstLineChars="200"/>
        <w:rPr>
          <w:rFonts w:ascii="宋体" w:eastAsia="宋体" w:hAnsi="宋体" w:hint="eastAsia"/>
          <w:color w:val="0000FF"/>
          <w:sz w:val="20"/>
          <w:highlight w:val="yellow"/>
          <w:lang w:val="en-US" w:eastAsia="zh-CN"/>
        </w:rPr>
      </w:pPr>
    </w:p>
    <w:p w14:paraId="4528A745">
      <w:pPr>
        <w:spacing w:line="340" w:lineRule="exact"/>
        <w:ind w:firstLine="400" w:firstLineChars="200"/>
        <w:rPr>
          <w:rFonts w:ascii="宋体" w:eastAsia="宋体" w:hAnsi="宋体" w:hint="eastAsia"/>
          <w:color w:val="0000FF"/>
          <w:sz w:val="20"/>
          <w:highlight w:val="yellow"/>
        </w:rPr>
      </w:pPr>
      <w:r>
        <w:rPr>
          <w:rFonts w:ascii="宋体" w:eastAsia="宋体" w:hAnsi="宋体" w:hint="eastAsia"/>
          <w:color w:val="0000FF"/>
          <w:sz w:val="20"/>
          <w:highlight w:val="yellow"/>
          <w:lang w:val="en-US" w:eastAsia="zh-CN"/>
        </w:rPr>
        <w:t>在HTTPS通信过程中，客户端（如浏览器）与服务端通过SSL/TLS完成安全握手。服务端提交其数字凭证，客户端对其有效性及合规性加以核验，继而双方协同推导出会话密钥，用以保障后续数据交互的机密性。在数据传送时，信息被切分为多个片段并逐一加密；接收端则依序对各密文单元实施解密，以此确保通信全程的信息机密与结构无损。</w:t>
      </w:r>
    </w:p>
    <w:p w14:paraId="2B1C8B61">
      <w:pPr>
        <w:spacing w:line="340" w:lineRule="exact"/>
        <w:ind w:firstLine="400" w:firstLineChars="200"/>
        <w:rPr>
          <w:rFonts w:ascii="宋体" w:eastAsia="宋体" w:hAnsi="宋体" w:hint="eastAsia"/>
          <w:color w:val="0000FF"/>
          <w:sz w:val="20"/>
          <w:highlight w:val="yellow"/>
          <w:lang w:val="en-US" w:eastAsia="zh-CN"/>
        </w:rPr>
      </w:pPr>
    </w:p>
    <w:p w14:paraId="50FB21A3">
      <w:pPr>
        <w:spacing w:line="340" w:lineRule="exact"/>
        <w:ind w:firstLine="400" w:firstLineChars="200"/>
        <w:rPr>
          <w:rFonts w:ascii="宋体" w:eastAsia="宋体" w:hAnsi="宋体" w:hint="eastAsia"/>
          <w:color w:val="0000FF"/>
          <w:sz w:val="20"/>
          <w:highlight w:val="yellow"/>
          <w:lang w:val="en-US" w:eastAsia="zh-CN"/>
        </w:rPr>
      </w:pPr>
    </w:p>
    <w:p w14:paraId="537CB6D0">
      <w:pPr>
        <w:spacing w:line="340" w:lineRule="exact"/>
        <w:ind w:firstLine="400" w:firstLineChars="200"/>
        <w:rPr>
          <w:rFonts w:ascii="宋体" w:eastAsia="宋体" w:hAnsi="宋体" w:hint="eastAsia"/>
          <w:color w:val="0000FF"/>
          <w:sz w:val="20"/>
          <w:highlight w:val="yellow"/>
        </w:rPr>
      </w:pPr>
      <w:r>
        <w:rPr>
          <w:rFonts w:ascii="宋体" w:eastAsia="宋体" w:hAnsi="宋体" w:hint="eastAsia"/>
          <w:color w:val="0000FF"/>
          <w:sz w:val="20"/>
          <w:highlight w:val="yellow"/>
          <w:lang w:val="en-US" w:eastAsia="zh-CN"/>
        </w:rPr>
        <w:t>以Oracl</w:t>
      </w:r>
      <w:r>
        <w:rPr>
          <w:rFonts w:ascii="宋体" w:eastAsia="宋体" w:hAnsi="宋体" w:hint="eastAsia"/>
          <w:color w:val="0000FF"/>
          <w:sz w:val="20"/>
          <w:highlight w:val="yellow"/>
          <w:lang w:val="en-US" w:eastAsia="zh-CN"/>
        </w:rPr>
        <w:t>e为例，其内置的透明数据加密机制支持对表空间实施安全保护：数据落盘时，系统自动调用预设密钥完成加密</w:t>
      </w:r>
      <w:r>
        <w:rPr>
          <w:rFonts w:ascii="宋体" w:eastAsia="宋体" w:hAnsi="宋体" w:hint="eastAsia"/>
          <w:color w:val="0000FF"/>
          <w:sz w:val="20"/>
          <w:highlight w:val="yellow"/>
          <w:vertAlign w:val="superscript"/>
          <w:lang w:val="en-US" w:eastAsia="zh-CN"/>
        </w:rPr>
        <w:t>[4]</w:t>
      </w:r>
      <w:r>
        <w:rPr>
          <w:rFonts w:ascii="宋体" w:eastAsia="宋体" w:hAnsi="宋体" w:hint="eastAsia"/>
          <w:color w:val="0000FF"/>
          <w:sz w:val="20"/>
          <w:highlight w:val="yellow"/>
          <w:lang w:val="en-US" w:eastAsia="zh-CN"/>
        </w:rPr>
        <w:t>；读取时则动态解密还原。至于字段粒度的加密需求，可借助定制化存储过程或专用插件予以实现。针对高敏感信息如密码、身份证号码等，系统实施独立加密机制。查询时，数据库后台自动执行密文还原，确保用户顺利读取所需内容，而存储层中数据始终保持加密形态，未以明文留存。</w:t>
      </w:r>
    </w:p>
    <w:p w14:paraId="1DF024EB">
      <w:pPr>
        <w:spacing w:line="340" w:lineRule="exact"/>
        <w:ind w:firstLine="400" w:firstLineChars="200"/>
        <w:rPr>
          <w:rFonts w:ascii="宋体" w:eastAsia="宋体" w:hAnsi="宋体" w:hint="eastAsia"/>
          <w:color w:val="0000FF"/>
          <w:sz w:val="20"/>
          <w:highlight w:val="yellow"/>
          <w:lang w:val="en-US" w:eastAsia="zh-CN"/>
        </w:rPr>
      </w:pPr>
    </w:p>
    <w:p w14:paraId="75BD4860">
      <w:pPr>
        <w:spacing w:line="340" w:lineRule="exact"/>
        <w:ind w:firstLine="400" w:firstLineChars="200"/>
        <w:rPr>
          <w:rFonts w:ascii="宋体" w:eastAsia="宋体" w:hAnsi="宋体" w:hint="eastAsia"/>
          <w:color w:val="0000FF"/>
          <w:sz w:val="20"/>
          <w:highlight w:val="yellow"/>
          <w:lang w:val="en-US" w:eastAsia="zh-CN"/>
        </w:rPr>
      </w:pPr>
    </w:p>
    <w:p w14:paraId="198F9D12">
      <w:pPr>
        <w:spacing w:line="340" w:lineRule="exact"/>
        <w:ind w:firstLine="400" w:firstLineChars="200"/>
        <w:rPr>
          <w:rFonts w:ascii="宋体" w:eastAsia="宋体" w:hAnsi="宋体" w:hint="eastAsia"/>
          <w:color w:val="0000FF"/>
          <w:sz w:val="20"/>
          <w:highlight w:val="yellow"/>
          <w:lang w:val="en-US" w:eastAsia="zh-CN"/>
        </w:rPr>
      </w:pPr>
      <w:r>
        <w:rPr>
          <w:rFonts w:ascii="宋体" w:eastAsia="宋体" w:hAnsi="宋体" w:hint="eastAsia"/>
          <w:color w:val="0000FF"/>
          <w:sz w:val="20"/>
          <w:highlight w:val="yellow"/>
          <w:lang w:val="en-US" w:eastAsia="zh-CN"/>
        </w:rPr>
        <w:t>为防范数据外泄导致用户凭证遭窃，多数网络平台及应用程序在保存密码时，均不以原始形态留存，而是借助单向哈希函数进行不可逆转换，从而提升安全防护层级。现今众多平台选用BCrypt对用户口令实施加密存储，其运算机制内嵌动态盐粒——即一段不可预测的字符序列，与原始密文融合后执行散列处理。即便多人采用雷同口令，因盐粒各异，所得散列结果亦截然不同；用户在登录环节，用户提交的密钥会与专属盐串组合后重新生成摘要，再同库内留存的散列结果做匹配，吻合则判定身份合法。该机制显著削弱了数据外泄所引发的威胁——即便窃取者掌握了摘要记录，因缺乏对应盐料，亦极难借助穷举手段逆向推导出初始口令。</w:t>
      </w:r>
    </w:p>
    <w:p w14:paraId="25DB35F2">
      <w:pPr>
        <w:spacing w:line="340" w:lineRule="exact"/>
        <w:ind w:firstLine="400" w:firstLineChars="200"/>
        <w:rPr>
          <w:rFonts w:ascii="宋体" w:eastAsia="宋体" w:hAnsi="宋体" w:hint="eastAsia"/>
          <w:color w:val="0000FF"/>
          <w:sz w:val="20"/>
          <w:highlight w:val="yellow"/>
          <w:lang w:val="en-US" w:eastAsia="zh-CN"/>
        </w:rPr>
      </w:pPr>
    </w:p>
    <w:p w14:paraId="41B6EEE4">
      <w:pPr>
        <w:spacing w:line="340" w:lineRule="exact"/>
        <w:ind w:firstLine="400" w:firstLineChars="200"/>
        <w:rPr>
          <w:rFonts w:ascii="宋体" w:eastAsia="宋体" w:hAnsi="宋体" w:hint="eastAsia"/>
          <w:color w:val="0000FF"/>
          <w:sz w:val="20"/>
          <w:highlight w:val="yellow"/>
          <w:lang w:val="en-US" w:eastAsia="zh-CN"/>
        </w:rPr>
      </w:pPr>
    </w:p>
    <w:p w14:paraId="5984DBAB">
      <w:pPr>
        <w:spacing w:line="340" w:lineRule="exact"/>
        <w:ind w:firstLine="400" w:firstLineChars="200"/>
        <w:rPr>
          <w:rFonts w:ascii="宋体" w:eastAsia="宋体" w:hAnsi="宋体" w:hint="eastAsia"/>
          <w:color w:val="0000FF"/>
          <w:sz w:val="20"/>
          <w:highlight w:val="yellow"/>
          <w:lang w:val="en-US" w:eastAsia="zh-CN"/>
        </w:rPr>
      </w:pPr>
      <w:r>
        <w:rPr>
          <w:rFonts w:ascii="宋体" w:eastAsia="宋体" w:hAnsi="宋体" w:hint="eastAsia"/>
          <w:color w:val="0000FF"/>
          <w:sz w:val="20"/>
          <w:highlight w:val="yellow"/>
          <w:lang w:val="en-US" w:eastAsia="zh-CN"/>
        </w:rPr>
        <w:t>双因素验证手段多样，如短信动态码、生物特征比对、实体密钥设备等，虽在技术路径与部署环节各有侧重，却无一例外依赖密码学机制构筑安全基石。以短信校验码为例，用户发起登录请求后，平台随即生成一串随机字符，经安全信道推送至其已绑定的移动设备。待用户在界面中键入所收字符，系统即刻将其与后台密文记录作匹配核验，仅当一致时方授权登入。至于指纹认证环节，用户指纹数据在终端设备上经加密后才上传至服务端，由服务器采用相应算法将之与已加密的模板进行匹配校验；硬件令牌依托内嵌安全芯片动态生成单次有效口令，登录时用户提交该口令，系统随即以预设加密机制验证其合法性。</w:t>
      </w:r>
    </w:p>
    <w:p w14:paraId="5844A262"/>
    <w:p w14:paraId="24A73B97"/>
    <w:sectPr>
      <w:headerReference w:type="default" r:id="rId4"/>
      <w:footerReference w:type="default" r:id="rId5"/>
      <w:type w:val="continuous"/>
      <w:pgSz w:w="11906" w:h="16838"/>
      <w:pgMar w:top="1440" w:right="1077" w:bottom="1440" w:left="1077" w:header="851" w:footer="992" w:gutter="0"/>
      <w:pgNumType w:fmt="numberInDash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10C88CE4">
    <w:pPr>
      <w:spacing w:line="240" w:lineRule="exact"/>
      <w:jc w:val="right"/>
      <w:rPr>
        <w:rFonts w:ascii="Calibri" w:hAnsi="Calibri" w:cs="Calibri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5122317">
    <w:pPr>
      <w:pBdr>
        <w:bottom w:val="single" w:sz="4" w:space="1" w:color="auto"/>
      </w:pBdr>
      <w:tabs>
        <w:tab w:val="center" w:pos="4153"/>
        <w:tab w:val="right" w:pos="8306"/>
      </w:tabs>
      <w:snapToGrid w:val="0"/>
      <w:spacing w:line="240" w:lineRule="exact"/>
      <w:jc w:val="center"/>
    </w:pPr>
    <w:r>
      <w:rPr>
        <w:rFonts w:ascii="宋体" w:eastAsia="宋体" w:hAnsi="宋体" w:cs="宋体"/>
        <w:sz w:val="18"/>
        <w:szCs w:val="18"/>
      </w:rPr>
      <w:t>中文科技期刊数据库（引文版）工程技术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34919E2"/>
    <w:rsid w:val="534919E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uiPriority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6" w:lineRule="auto"/>
      <w:outlineLvl w:val="0"/>
    </w:pPr>
    <w:rPr>
      <w:kern w:val="44"/>
      <w:sz w:val="4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Resurgam</dc:creator>
  <cp:lastModifiedBy>Resurgam</cp:lastModifiedBy>
  <cp:revision>1</cp:revision>
  <dcterms:created xsi:type="dcterms:W3CDTF">2026-07-03T13:24:00Z</dcterms:created>
  <dcterms:modified xsi:type="dcterms:W3CDTF">2026-07-03T13:24:57Z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63D76BA69A114ADA8177528768B3089F_11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eyJoZGlkIjoiYTk3YmY3NWQ0YmNmZGVmMTdjYzMzOTgyZjgzMDQwZTkiLCJ1c2VySWQiOiIyNDYyMTY4NzMifQ==</vt:lpwstr>
  </property>
</Properties>
</file>