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C2DC130">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目的</w:t>
      </w:r>
      <w:r>
        <w:rPr>
          <w:rFonts w:ascii="微软雅黑" w:eastAsia="微软雅黑" w:hAnsi="微软雅黑" w:cs="微软雅黑" w:hint="eastAsia"/>
          <w:b w:val="0"/>
          <w:bCs/>
          <w:color w:val="FF0000"/>
          <w:sz w:val="21"/>
          <w:szCs w:val="21"/>
          <w:lang w:val="en-US" w:eastAsia="zh-CN"/>
        </w:rPr>
        <w:t xml:space="preserve"> </w:t>
      </w:r>
      <w:r>
        <w:rPr>
          <w:rFonts w:ascii="微软雅黑" w:eastAsia="微软雅黑" w:hAnsi="微软雅黑" w:cs="微软雅黑" w:hint="eastAsia"/>
          <w:b w:val="0"/>
          <w:bCs/>
          <w:color w:val="FF0000"/>
          <w:sz w:val="21"/>
          <w:szCs w:val="21"/>
        </w:rPr>
        <w:t>探讨填髓柔筋穴位敷贴联合神经生理学疗法（Bobath法）对小儿痉挛型脑瘫的康复治疗效果，为临床治疗提供循证医学依据。</w:t>
      </w:r>
      <w:r>
        <w:rPr>
          <w:rFonts w:ascii="微软雅黑" w:eastAsia="微软雅黑" w:hAnsi="微软雅黑" w:cs="微软雅黑" w:hint="eastAsia"/>
          <w:b w:val="0"/>
          <w:bCs/>
          <w:color w:val="FF0000"/>
          <w:sz w:val="21"/>
          <w:szCs w:val="21"/>
          <w:lang w:val="en-US" w:eastAsia="zh-CN"/>
        </w:rPr>
        <w:t>方</w:t>
      </w:r>
      <w:r>
        <w:rPr>
          <w:rFonts w:ascii="微软雅黑" w:eastAsia="微软雅黑" w:hAnsi="微软雅黑" w:cs="微软雅黑" w:hint="eastAsia"/>
          <w:b w:val="0"/>
          <w:bCs/>
          <w:color w:val="FF0000"/>
          <w:sz w:val="21"/>
          <w:szCs w:val="21"/>
        </w:rPr>
        <w:t>法 选择2024年6月-2025年11月在西安中医脑病医院脑瘫科就诊的120例痉挛型脑瘫患儿，随机分为试验组和对照组，每组60例。对照组用Bobath法治疗，试验组在对照组基础上加用填髓柔筋穴位敷贴、小儿推拿和中药定向透药疗法。比较两组患儿治疗后生物学指标、安全性指标和疗效性指标，评价治疗效果和安全性。生物学</w:t>
      </w:r>
      <w:r>
        <w:rPr>
          <w:rFonts w:ascii="微软雅黑" w:eastAsia="微软雅黑" w:hAnsi="微软雅黑" w:cs="微软雅黑" w:hint="eastAsia"/>
          <w:b w:val="0"/>
          <w:bCs/>
          <w:color w:val="FF0000"/>
          <w:sz w:val="21"/>
          <w:szCs w:val="21"/>
          <w:lang w:val="en-US" w:eastAsia="zh-CN"/>
        </w:rPr>
        <w:t>指</w:t>
      </w:r>
      <w:r>
        <w:rPr>
          <w:rFonts w:ascii="微软雅黑" w:eastAsia="微软雅黑" w:hAnsi="微软雅黑" w:cs="微软雅黑" w:hint="eastAsia"/>
          <w:b w:val="0"/>
          <w:bCs/>
          <w:color w:val="FF0000"/>
          <w:sz w:val="21"/>
          <w:szCs w:val="21"/>
        </w:rPr>
        <w:t>标上，试验组身高增长值为4.25±1.02cm，体重增长值为1.86±0.53kg，均大于对照组的3.18±0.95cm、1.32±0.48kg，t=5.68、6.13，均P&lt;0.001。</w:t>
      </w:r>
      <w:r>
        <w:rPr>
          <w:rFonts w:ascii="微软雅黑" w:eastAsia="微软雅黑" w:hAnsi="微软雅黑" w:cs="微软雅黑" w:hint="eastAsia"/>
          <w:b w:val="0"/>
          <w:bCs/>
          <w:color w:val="FF0000"/>
          <w:sz w:val="21"/>
          <w:szCs w:val="21"/>
          <w:lang w:val="en-US" w:eastAsia="zh-CN"/>
        </w:rPr>
        <w:t>安</w:t>
      </w:r>
      <w:r>
        <w:rPr>
          <w:rFonts w:ascii="微软雅黑" w:eastAsia="微软雅黑" w:hAnsi="微软雅黑" w:cs="微软雅黑" w:hint="eastAsia"/>
          <w:b w:val="0"/>
          <w:bCs/>
          <w:color w:val="FF0000"/>
          <w:sz w:val="21"/>
          <w:szCs w:val="21"/>
        </w:rPr>
        <w:t>全性</w:t>
      </w:r>
      <w:r>
        <w:rPr>
          <w:rFonts w:ascii="微软雅黑" w:eastAsia="微软雅黑" w:hAnsi="微软雅黑" w:cs="微软雅黑" w:hint="eastAsia"/>
          <w:b w:val="0"/>
          <w:bCs/>
          <w:i/>
          <w:iCs/>
          <w:color w:val="FF0000"/>
          <w:sz w:val="21"/>
          <w:szCs w:val="21"/>
        </w:rPr>
        <w:t>指</w:t>
      </w:r>
      <w:r>
        <w:rPr>
          <w:rFonts w:ascii="微软雅黑" w:eastAsia="微软雅黑" w:hAnsi="微软雅黑" w:cs="微软雅黑" w:hint="eastAsia"/>
          <w:b w:val="0"/>
          <w:bCs/>
          <w:color w:val="FF0000"/>
          <w:sz w:val="21"/>
          <w:szCs w:val="21"/>
        </w:rPr>
        <w:t>标上，两组患儿治疗后血、尿常规、心电图、肝、肾功能均在正常范围之内；试验组轻微皮肤发红发生率是8.33%（5/60），对照组没有明显的不良反应，χ²=3.91，P=0.05</w:t>
      </w:r>
      <w:r>
        <w:rPr>
          <w:rFonts w:ascii="微软雅黑" w:eastAsia="微软雅黑" w:hAnsi="微软雅黑" w:cs="微软雅黑" w:hint="eastAsia"/>
          <w:b w:val="0"/>
          <w:bCs/>
          <w:i/>
          <w:iCs/>
          <w:color w:val="FF0000"/>
          <w:sz w:val="21"/>
          <w:szCs w:val="21"/>
        </w:rPr>
        <w:t>7</w:t>
      </w:r>
      <w:r>
        <w:rPr>
          <w:rFonts w:ascii="微软雅黑" w:eastAsia="微软雅黑" w:hAnsi="微软雅黑" w:cs="微软雅黑" w:hint="eastAsia"/>
          <w:b w:val="0"/>
          <w:bCs/>
          <w:color w:val="FF0000"/>
          <w:sz w:val="21"/>
          <w:szCs w:val="21"/>
        </w:rPr>
        <w:t>，两组不良事件发生率比较无统计学意义。疗效性指标上，试验组治疗后双下肢肌张力0-Ⅰ级占86.67%，比对照组63.33%高很多，χ²=10.29，P=0.001，内收肌角（135.</w:t>
      </w:r>
      <w:r>
        <w:rPr>
          <w:rFonts w:ascii="微软雅黑" w:eastAsia="微软雅黑" w:hAnsi="微软雅黑" w:cs="微软雅黑" w:hint="eastAsia"/>
          <w:b w:val="0"/>
          <w:bCs/>
          <w:color w:val="FF0000"/>
          <w:sz w:val="21"/>
          <w:szCs w:val="21"/>
          <w:lang w:val="en-US" w:eastAsia="zh-CN"/>
        </w:rPr>
        <w:t>6</w:t>
      </w:r>
      <w:r>
        <w:rPr>
          <w:rFonts w:ascii="微软雅黑" w:eastAsia="微软雅黑" w:hAnsi="微软雅黑" w:cs="微软雅黑" w:hint="eastAsia"/>
          <w:b w:val="0"/>
          <w:bCs/>
          <w:color w:val="FF0000"/>
          <w:sz w:val="21"/>
          <w:szCs w:val="21"/>
        </w:rPr>
        <w:t>2</w:t>
      </w:r>
      <w:r>
        <w:rPr>
          <w:rFonts w:ascii="微软雅黑" w:eastAsia="微软雅黑" w:hAnsi="微软雅黑" w:cs="微软雅黑" w:hint="eastAsia"/>
          <w:b w:val="0"/>
          <w:bCs/>
          <w:i/>
          <w:iCs/>
          <w:color w:val="FF0000"/>
          <w:sz w:val="21"/>
          <w:szCs w:val="21"/>
        </w:rPr>
        <w:t>±</w:t>
      </w:r>
      <w:r>
        <w:rPr>
          <w:rFonts w:ascii="微软雅黑" w:eastAsia="微软雅黑" w:hAnsi="微软雅黑" w:cs="微软雅黑" w:hint="eastAsia"/>
          <w:b w:val="0"/>
          <w:bCs/>
          <w:color w:val="FF0000"/>
          <w:sz w:val="21"/>
          <w:szCs w:val="21"/>
        </w:rPr>
        <w:t>10.35）°、腘窝角（128.45±11.26）°、足背屈角（15.32±3.18）°，均好于对照组（118.35±9.62）°、（112.68±10.53）°、（10.25±2.86）°，t=9.23、8.77、9.87，均P&lt;0.00</w:t>
      </w:r>
      <w:r>
        <w:rPr>
          <w:rFonts w:ascii="微软雅黑" w:eastAsia="微软雅黑" w:hAnsi="微软雅黑" w:cs="微软雅黑" w:hint="eastAsia"/>
          <w:b w:val="0"/>
          <w:bCs/>
          <w:color w:val="FF0000"/>
          <w:sz w:val="21"/>
          <w:szCs w:val="21"/>
          <w:lang w:val="en-US" w:eastAsia="zh-CN"/>
        </w:rPr>
        <w:t>1</w:t>
      </w:r>
      <w:r>
        <w:rPr>
          <w:rFonts w:ascii="微软雅黑" w:eastAsia="微软雅黑" w:hAnsi="微软雅黑" w:cs="微软雅黑" w:hint="eastAsia"/>
          <w:b w:val="0"/>
          <w:bCs/>
          <w:color w:val="FF0000"/>
          <w:sz w:val="21"/>
          <w:szCs w:val="21"/>
        </w:rPr>
        <w:t>；综合痉挛量表</w:t>
      </w:r>
      <w:r>
        <w:rPr>
          <w:rFonts w:ascii="微软雅黑" w:eastAsia="微软雅黑" w:hAnsi="微软雅黑" w:cs="微软雅黑" w:hint="eastAsia"/>
          <w:b w:val="0"/>
          <w:bCs/>
          <w:i/>
          <w:iCs/>
          <w:color w:val="FF0000"/>
          <w:sz w:val="21"/>
          <w:szCs w:val="21"/>
        </w:rPr>
        <w:t>（</w:t>
      </w:r>
      <w:r>
        <w:rPr>
          <w:rFonts w:ascii="微软雅黑" w:eastAsia="微软雅黑" w:hAnsi="微软雅黑" w:cs="微软雅黑" w:hint="eastAsia"/>
          <w:b w:val="0"/>
          <w:bCs/>
          <w:color w:val="FF0000"/>
          <w:sz w:val="21"/>
          <w:szCs w:val="21"/>
        </w:rPr>
        <w:t>CSS）评分（6.85±1.32）分，比对照组（9.62±1.56）分低，t=11.35，P&lt;0.001；粗大运动</w:t>
      </w:r>
      <w:r>
        <w:rPr>
          <w:rFonts w:ascii="微软雅黑" w:eastAsia="微软雅黑" w:hAnsi="微软雅黑" w:cs="微软雅黑" w:hint="eastAsia"/>
          <w:b w:val="0"/>
          <w:bCs/>
          <w:i/>
          <w:iCs/>
          <w:color w:val="FF0000"/>
          <w:sz w:val="21"/>
          <w:szCs w:val="21"/>
        </w:rPr>
        <w:t>功</w:t>
      </w:r>
      <w:r>
        <w:rPr>
          <w:rFonts w:ascii="微软雅黑" w:eastAsia="微软雅黑" w:hAnsi="微软雅黑" w:cs="微软雅黑" w:hint="eastAsia"/>
          <w:b w:val="0"/>
          <w:bCs/>
          <w:color w:val="FF0000"/>
          <w:sz w:val="21"/>
          <w:szCs w:val="21"/>
        </w:rPr>
        <w:t>能测试（GMFM-88项）评分（68.35±8.62）分，比对照组（56.42±7.85）分高，t=7.99，P&lt;0.001；</w:t>
      </w:r>
      <w:r>
        <w:rPr>
          <w:rFonts w:ascii="微软雅黑" w:eastAsia="微软雅黑" w:hAnsi="微软雅黑" w:cs="微软雅黑" w:hint="eastAsia"/>
          <w:b w:val="0"/>
          <w:bCs/>
          <w:color w:val="FF0000"/>
          <w:sz w:val="21"/>
          <w:szCs w:val="21"/>
          <w:lang w:val="en-US" w:eastAsia="zh-CN"/>
        </w:rPr>
        <w:t>试</w:t>
      </w:r>
      <w:r>
        <w:rPr>
          <w:rFonts w:ascii="微软雅黑" w:eastAsia="微软雅黑" w:hAnsi="微软雅黑" w:cs="微软雅黑" w:hint="eastAsia"/>
          <w:b w:val="0"/>
          <w:bCs/>
          <w:color w:val="FF0000"/>
          <w:sz w:val="21"/>
          <w:szCs w:val="21"/>
        </w:rPr>
        <w:t>验组总有效率95.00%，比对照组78.33%高，χ²=8.72，P=0.00</w:t>
      </w:r>
      <w:r>
        <w:rPr>
          <w:rFonts w:ascii="微软雅黑" w:eastAsia="微软雅黑" w:hAnsi="微软雅黑" w:cs="微软雅黑" w:hint="eastAsia"/>
          <w:b w:val="0"/>
          <w:bCs/>
          <w:color w:val="FF0000"/>
          <w:sz w:val="21"/>
          <w:szCs w:val="21"/>
        </w:rPr>
        <w:t>3。结论 填髓柔</w:t>
      </w:r>
      <w:r>
        <w:rPr>
          <w:rFonts w:ascii="微软雅黑" w:eastAsia="微软雅黑" w:hAnsi="微软雅黑" w:cs="微软雅黑" w:hint="eastAsia"/>
          <w:b w:val="0"/>
          <w:bCs/>
          <w:color w:val="FF0000"/>
          <w:sz w:val="21"/>
          <w:szCs w:val="21"/>
        </w:rPr>
        <w:t>筋穴位敷贴联合Bobath法治疗小儿痉挛型脑瘫，能有效改善患儿生长发育状况及运动功能，且安全性良好，值得临床推广应用。</w:t>
      </w:r>
    </w:p>
    <w:p w14:paraId="4BD95157">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p>
    <w:p w14:paraId="7A0BBF74">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p>
    <w:p w14:paraId="72D4B77B">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2"/>
        <w:rPr>
          <w:rFonts w:ascii="微软雅黑" w:eastAsia="微软雅黑" w:hAnsi="微软雅黑" w:cs="微软雅黑" w:hint="eastAsia"/>
          <w:b w:val="0"/>
          <w:bCs/>
          <w:color w:val="FF0000"/>
          <w:sz w:val="21"/>
          <w:szCs w:val="21"/>
        </w:rPr>
      </w:pPr>
      <w:bookmarkStart w:id="0" w:name="heading_4"/>
      <w:r>
        <w:rPr>
          <w:rFonts w:ascii="微软雅黑" w:eastAsia="微软雅黑" w:hAnsi="微软雅黑" w:cs="微软雅黑" w:hint="eastAsia"/>
          <w:b w:val="0"/>
          <w:bCs/>
          <w:color w:val="FF0000"/>
          <w:sz w:val="21"/>
          <w:szCs w:val="21"/>
          <w:lang w:val="en-US" w:eastAsia="zh-CN"/>
        </w:rPr>
        <w:t>1.1</w:t>
      </w:r>
      <w:r>
        <w:rPr>
          <w:rFonts w:ascii="微软雅黑" w:eastAsia="微软雅黑" w:hAnsi="微软雅黑" w:cs="微软雅黑" w:hint="eastAsia"/>
          <w:b w:val="0"/>
          <w:bCs/>
          <w:color w:val="FF0000"/>
          <w:sz w:val="21"/>
          <w:szCs w:val="21"/>
        </w:rPr>
        <w:t>研究对象</w:t>
      </w:r>
      <w:bookmarkEnd w:id="0"/>
    </w:p>
    <w:p w14:paraId="4C0BF95B">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本研究选取2024年6月至2025年11月期间在西安中医脑病医院脑瘫科接受门诊或者住院治疗的痉挛型脑瘫患儿为研究对象，共纳入120例。用随机数字表法将患者分成试验组和对照组，每组各有60例。本研究方案已经取得医院伦理委员会的批准（伦理批号为XAZYBNY-2024-032），所有参加者家属都签署了知情同意书来保证他们的权益。</w:t>
      </w:r>
    </w:p>
    <w:p w14:paraId="5FA55664">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2"/>
        <w:rPr>
          <w:rFonts w:ascii="微软雅黑" w:eastAsia="微软雅黑" w:hAnsi="微软雅黑" w:cs="微软雅黑" w:hint="eastAsia"/>
          <w:b w:val="0"/>
          <w:bCs/>
          <w:color w:val="FF0000"/>
          <w:sz w:val="21"/>
          <w:szCs w:val="21"/>
        </w:rPr>
      </w:pPr>
      <w:bookmarkStart w:id="1" w:name="heading_8"/>
      <w:r>
        <w:rPr>
          <w:rFonts w:ascii="微软雅黑" w:eastAsia="微软雅黑" w:hAnsi="微软雅黑" w:cs="微软雅黑" w:hint="eastAsia"/>
          <w:b w:val="0"/>
          <w:bCs/>
          <w:color w:val="FF0000"/>
          <w:sz w:val="21"/>
          <w:szCs w:val="21"/>
        </w:rPr>
        <w:t>纳入标准</w:t>
      </w:r>
      <w:bookmarkEnd w:id="1"/>
      <w:r>
        <w:rPr>
          <w:rFonts w:ascii="微软雅黑" w:eastAsia="微软雅黑" w:hAnsi="微软雅黑" w:cs="微软雅黑" w:hint="eastAsia"/>
          <w:b w:val="0"/>
          <w:bCs/>
          <w:color w:val="FF0000"/>
          <w:sz w:val="21"/>
          <w:szCs w:val="21"/>
          <w:lang w:eastAsia="zh-CN"/>
        </w:rPr>
        <w:t>为</w:t>
      </w:r>
      <w:r>
        <w:rPr>
          <w:rFonts w:ascii="微软雅黑" w:eastAsia="微软雅黑" w:hAnsi="微软雅黑" w:cs="微软雅黑" w:hint="eastAsia"/>
          <w:b w:val="0"/>
          <w:bCs/>
          <w:color w:val="FF0000"/>
          <w:sz w:val="21"/>
          <w:szCs w:val="21"/>
        </w:rPr>
        <w:t>西医脑性瘫痪诊断标准和临床分型标准，中医药辨证施治的要求，年龄为1～6周岁（含1岁和6岁），性别不限制，无重度听觉损伤病史，排除癫痫和颅内占位性病变者，近期内无急性或慢性感染事件，监护人已充分了解实验内容并签署知情同意书，保证后续治疗全过程的配合。对以下情况应该予以排除：不符合脑性瘫痪的定义和相关诊断依据的；实际年龄小于1岁或者大于6岁的；对试验药物任何组分有明确的过敏反应或者高敏感风险的；由于严重抗拒参与、极端情绪波动等原因造成疗效评价困难且没有完整的记录资料的；不能按照医嘱完成治疗过程的；有严重的心血管系统疾病、肝肾功能衰竭等危重内科并发症的；治疗期间出现其他感染性疾病者等。</w:t>
      </w:r>
    </w:p>
    <w:p w14:paraId="37433EE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纳入的研究组有60名儿童，男32人、女28人，年龄1～6岁，平均年龄为（3.25±1.36）岁，病程6个月～4年，平均为（1.86±0.92）年。根据临床表现分类可知，60%的患儿属于痉挛型双瘫，36%为痉挛型四肢瘫。对照组有60名儿童，男33人、女27人，年龄范围与研究组相同，平均年龄比研究组大0.12岁；病程分布与研究组基本一致，平均病程为1.92年。从亚型统计结果可知，对照组痉挛型双瘫占53.3%，痉挛型四肢瘫占46.7%。经过统计学分析可知，两组基线特征无统计学差异（P＞0.05），具有较好的均衡性以及可比性。</w:t>
      </w:r>
    </w:p>
    <w:p w14:paraId="00491C11">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bookmarkStart w:id="2" w:name="heading_11"/>
      <w:r>
        <w:rPr>
          <w:rFonts w:ascii="微软雅黑" w:eastAsia="微软雅黑" w:hAnsi="微软雅黑" w:cs="微软雅黑" w:hint="eastAsia"/>
          <w:b w:val="0"/>
          <w:bCs/>
          <w:color w:val="FF0000"/>
          <w:sz w:val="21"/>
          <w:szCs w:val="21"/>
          <w:lang w:val="en-US" w:eastAsia="zh-CN"/>
        </w:rPr>
        <w:t>1.2</w:t>
      </w:r>
      <w:r>
        <w:rPr>
          <w:rFonts w:ascii="微软雅黑" w:eastAsia="微软雅黑" w:hAnsi="微软雅黑" w:cs="微软雅黑" w:hint="eastAsia"/>
          <w:b w:val="0"/>
          <w:bCs/>
          <w:color w:val="FF0000"/>
          <w:sz w:val="21"/>
          <w:szCs w:val="21"/>
        </w:rPr>
        <w:t>方法</w:t>
      </w:r>
      <w:bookmarkEnd w:id="2"/>
    </w:p>
    <w:p w14:paraId="66D6322C">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3"/>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对照组用Bobath神经生理疗法进行干预，操作者为有相关资质的康复医师或者理疗师。本治疗方案为每次30分钟，每周6次，间隔休息1天，一个疗程1个月，共3个疗程。具体手法有反射性抑制法、反射性促通法、叩击关键点等。全身拉伸运动、头部对抗重力保持直立姿势、下肢支撑下的坐姿锻炼、以躯干为中心的旋转功能训练等都是临床中常用的康复训练方式。</w:t>
      </w:r>
    </w:p>
    <w:p w14:paraId="072EE4B0">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p>
    <w:p w14:paraId="78AC180E">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3"/>
        <w:rPr>
          <w:rFonts w:ascii="微软雅黑" w:eastAsia="微软雅黑" w:hAnsi="微软雅黑" w:cs="微软雅黑" w:hint="eastAsia"/>
          <w:b w:val="0"/>
          <w:bCs/>
          <w:color w:val="FF0000"/>
          <w:sz w:val="21"/>
          <w:szCs w:val="21"/>
        </w:rPr>
      </w:pPr>
      <w:bookmarkStart w:id="3" w:name="heading_14"/>
      <w:r>
        <w:rPr>
          <w:rFonts w:ascii="微软雅黑" w:eastAsia="微软雅黑" w:hAnsi="微软雅黑" w:cs="微软雅黑" w:hint="eastAsia"/>
          <w:b w:val="0"/>
          <w:bCs/>
          <w:color w:val="FF0000"/>
          <w:sz w:val="21"/>
          <w:szCs w:val="21"/>
        </w:rPr>
        <w:t>试验组</w:t>
      </w:r>
      <w:bookmarkEnd w:id="3"/>
      <w:r>
        <w:rPr>
          <w:rFonts w:ascii="微软雅黑" w:eastAsia="微软雅黑" w:hAnsi="微软雅黑" w:cs="微软雅黑" w:hint="eastAsia"/>
          <w:b w:val="0"/>
          <w:bCs/>
          <w:color w:val="FF0000"/>
          <w:sz w:val="21"/>
          <w:szCs w:val="21"/>
        </w:rPr>
        <w:t>在对照组Bobath法的基础上联合填髓柔筋综合疗法，具体如下：</w:t>
      </w:r>
    </w:p>
    <w:p w14:paraId="06B1666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420" w:firstLineChars="200"/>
        <w:jc w:val="left"/>
        <w:textAlignment w:val="auto"/>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lang w:val="en-US" w:eastAsia="zh-CN"/>
        </w:rPr>
        <w:t>填髓柔筋贴穴位敷贴：药物组成：本研究选择生地黄（15g）、山茱萸（10g）、泽泻（6g）、樟脑（1g）、当归（15g）、白术（15g）、白芍（15g）、川芎（15g）、川牛膝（20g）、鸡血藤（15g）、伸筋草（30g）、透骨草（30g）、艾叶（30g）和经现代工艺提取纯化的马钱子（5g）为基本药方。采用现代制药技术将上述药材制成超细粉末，再用凡士林做基质进行均匀混合，制成可以直接贴敷的中药外用贴剂。按照中医辨证施治理论选择肝俞穴、肾俞穴、三阴交穴、血海穴、阳陵泉穴为治疗靶点。操作时严格按照无菌操作规程执行，将制备好的贴剂准确地贴在指定穴位上，保持4-6小时后取下，每天一次，连续两周，休息一天；并配合Bobath神经运动疗法加强疗效。</w:t>
      </w:r>
    </w:p>
    <w:p w14:paraId="4B2C11EA">
      <w:pPr>
        <w:keepNext w:val="0"/>
        <w:keepLines w:val="0"/>
        <w:pageBreakBefore w:val="0"/>
        <w:widowControl w:val="0"/>
        <w:numPr>
          <w:numId w:val="0"/>
        </w:numPr>
        <w:kinsoku/>
        <w:wordWrap/>
        <w:overflowPunct/>
        <w:topLinePunct w:val="0"/>
        <w:autoSpaceDE/>
        <w:autoSpaceDN/>
        <w:bidi w:val="0"/>
        <w:adjustRightInd/>
        <w:snapToGrid/>
        <w:spacing w:line="240" w:lineRule="auto"/>
        <w:jc w:val="left"/>
        <w:textAlignment w:val="auto"/>
        <w:rPr>
          <w:rFonts w:ascii="微软雅黑" w:eastAsia="微软雅黑" w:hAnsi="微软雅黑" w:cs="微软雅黑" w:hint="eastAsia"/>
          <w:b w:val="0"/>
          <w:bCs/>
          <w:color w:val="FF0000"/>
          <w:sz w:val="21"/>
          <w:szCs w:val="21"/>
        </w:rPr>
      </w:pPr>
    </w:p>
    <w:p w14:paraId="34F9F914">
      <w:pPr>
        <w:keepNext w:val="0"/>
        <w:keepLines w:val="0"/>
        <w:pageBreakBefore w:val="0"/>
        <w:widowControl w:val="0"/>
        <w:numPr>
          <w:numId w:val="0"/>
        </w:numPr>
        <w:kinsoku/>
        <w:wordWrap/>
        <w:overflowPunct/>
        <w:topLinePunct w:val="0"/>
        <w:autoSpaceDE/>
        <w:autoSpaceDN/>
        <w:bidi w:val="0"/>
        <w:adjustRightInd/>
        <w:snapToGrid/>
        <w:spacing w:line="240" w:lineRule="auto"/>
        <w:jc w:val="left"/>
        <w:textAlignment w:val="auto"/>
        <w:rPr>
          <w:rFonts w:ascii="微软雅黑" w:eastAsia="微软雅黑" w:hAnsi="微软雅黑" w:cs="微软雅黑" w:hint="eastAsia"/>
          <w:b w:val="0"/>
          <w:bCs/>
          <w:color w:val="FF0000"/>
          <w:sz w:val="21"/>
          <w:szCs w:val="21"/>
        </w:rPr>
      </w:pPr>
    </w:p>
    <w:p w14:paraId="162DC0C9">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3"/>
        <w:rPr>
          <w:rFonts w:ascii="微软雅黑" w:eastAsia="微软雅黑" w:hAnsi="微软雅黑" w:cs="微软雅黑" w:hint="eastAsia"/>
          <w:b w:val="0"/>
          <w:bCs/>
          <w:color w:val="FF0000"/>
          <w:sz w:val="21"/>
          <w:szCs w:val="21"/>
        </w:rPr>
      </w:pPr>
      <w:bookmarkStart w:id="4" w:name="heading_18"/>
      <w:r>
        <w:rPr>
          <w:rFonts w:ascii="微软雅黑" w:eastAsia="微软雅黑" w:hAnsi="微软雅黑" w:cs="微软雅黑" w:hint="eastAsia"/>
          <w:b w:val="0"/>
          <w:bCs/>
          <w:color w:val="FF0000"/>
          <w:sz w:val="21"/>
          <w:szCs w:val="21"/>
          <w:lang w:eastAsia="zh-CN"/>
        </w:rPr>
        <w:t>（</w:t>
      </w:r>
      <w:r>
        <w:rPr>
          <w:rFonts w:ascii="微软雅黑" w:eastAsia="微软雅黑" w:hAnsi="微软雅黑" w:cs="微软雅黑" w:hint="eastAsia"/>
          <w:b w:val="0"/>
          <w:bCs/>
          <w:color w:val="FF0000"/>
          <w:sz w:val="21"/>
          <w:szCs w:val="21"/>
          <w:lang w:val="en-US" w:eastAsia="zh-CN"/>
        </w:rPr>
        <w:t>3</w:t>
      </w:r>
      <w:r>
        <w:rPr>
          <w:rFonts w:ascii="微软雅黑" w:eastAsia="微软雅黑" w:hAnsi="微软雅黑" w:cs="微软雅黑" w:hint="eastAsia"/>
          <w:b w:val="0"/>
          <w:bCs/>
          <w:color w:val="FF0000"/>
          <w:sz w:val="21"/>
          <w:szCs w:val="21"/>
          <w:lang w:eastAsia="zh-CN"/>
        </w:rPr>
        <w:t>）</w:t>
      </w:r>
      <w:r>
        <w:rPr>
          <w:rFonts w:ascii="微软雅黑" w:eastAsia="微软雅黑" w:hAnsi="微软雅黑" w:cs="微软雅黑" w:hint="eastAsia"/>
          <w:b w:val="0"/>
          <w:bCs/>
          <w:color w:val="FF0000"/>
          <w:sz w:val="21"/>
          <w:szCs w:val="21"/>
        </w:rPr>
        <w:t>疗效性指标</w:t>
      </w:r>
      <w:bookmarkEnd w:id="4"/>
    </w:p>
    <w:p w14:paraId="2FBF50A0">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①双下肢肌张力：</w:t>
      </w:r>
      <w:r>
        <w:rPr>
          <w:rFonts w:ascii="微软雅黑" w:eastAsia="微软雅黑" w:hAnsi="微软雅黑" w:cs="微软雅黑" w:hint="eastAsia"/>
          <w:b w:val="0"/>
          <w:bCs/>
          <w:color w:val="FF0000"/>
          <w:sz w:val="21"/>
          <w:szCs w:val="21"/>
        </w:rPr>
        <w:t>使用改良的Ashworth分级法来评定，分级标准分为0级（无肌张力增高）、Ⅰ级（轻度增高，末端轻微阻力）、Ⅰ+级（轻度增高，后1/4段明显阻力）、Ⅱ级（中度增高，前1/2-1/3段阻力）、Ⅲ级（重度增高，大部分区域阻力）、Ⅳ级（极度增高，肢体僵硬）</w:t>
      </w:r>
      <w:r>
        <w:rPr>
          <w:rFonts w:ascii="微软雅黑" w:eastAsia="微软雅黑" w:hAnsi="微软雅黑" w:cs="微软雅黑" w:hint="eastAsia"/>
          <w:b w:val="0"/>
          <w:bCs/>
          <w:color w:val="FF0000"/>
          <w:sz w:val="21"/>
          <w:szCs w:val="21"/>
          <w:highlight w:val="yellow"/>
          <w:vertAlign w:val="superscript"/>
          <w:lang w:val="en-US" w:eastAsia="zh-CN"/>
        </w:rPr>
        <w:t>[6]</w:t>
      </w:r>
      <w:r>
        <w:rPr>
          <w:rFonts w:ascii="微软雅黑" w:eastAsia="微软雅黑" w:hAnsi="微软雅黑" w:cs="微软雅黑" w:hint="eastAsia"/>
          <w:b w:val="0"/>
          <w:bCs/>
          <w:color w:val="FF0000"/>
          <w:sz w:val="21"/>
          <w:szCs w:val="21"/>
        </w:rPr>
        <w:t>；②关节活动度，测量双下肢内收肌角、腘窝角、足背屈角，各指标测量3次，取平均值；③综合痉挛量表（CSS）评分，该评估系统主要以跟腱反射、踝跖屈肌群肌张力和踝阵挛为评价指标，用0到16分的评分方式，分数越高代表肌张力异常的程度越严重。粗大运动功能测评（GMFM-88）中涉及卧位和翻转、坐姿转换、爬行和跪行、站立稳定性、行走跳跃等五个主要方面，共88个项目，每个项目的评分范围是0到3分，总分范围是0到264分，得分越高表示患者的粗大运动能力越强。</w:t>
      </w:r>
    </w:p>
    <w:p w14:paraId="46F378D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2"/>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疗效评定标准按照残疾儿童功能评价体系所建立的疗效应答模型来确定，其计算公式为：疗效率=（终评得分-初评得分）/量表满分值×100%。在此框架中，“显效”指评分为原始分值的20%以上增加，“有效”包括评分增幅在1%到19%之间的情况，“无效”指评分为零增长或者呈负向变化。总体疗效应是显性、中性改善案例数占全部样本数的百分比。</w:t>
      </w:r>
    </w:p>
    <w:p w14:paraId="70CE9617">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2"/>
        <w:rPr>
          <w:rFonts w:ascii="微软雅黑" w:eastAsia="微软雅黑" w:hAnsi="微软雅黑" w:cs="微软雅黑" w:hint="eastAsia"/>
          <w:b w:val="0"/>
          <w:bCs/>
          <w:color w:val="FF0000"/>
          <w:sz w:val="21"/>
          <w:szCs w:val="21"/>
        </w:rPr>
      </w:pPr>
    </w:p>
    <w:p w14:paraId="52F0B04B">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3"/>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lang w:eastAsia="zh-CN"/>
        </w:rPr>
        <w:t>（</w:t>
      </w:r>
      <w:r>
        <w:rPr>
          <w:rFonts w:ascii="微软雅黑" w:eastAsia="微软雅黑" w:hAnsi="微软雅黑" w:cs="微软雅黑" w:hint="eastAsia"/>
          <w:b w:val="0"/>
          <w:bCs/>
          <w:color w:val="FF0000"/>
          <w:sz w:val="21"/>
          <w:szCs w:val="21"/>
          <w:lang w:val="en-US" w:eastAsia="zh-CN"/>
        </w:rPr>
        <w:t>3</w:t>
      </w:r>
      <w:r>
        <w:rPr>
          <w:rFonts w:ascii="微软雅黑" w:eastAsia="微软雅黑" w:hAnsi="微软雅黑" w:cs="微软雅黑" w:hint="eastAsia"/>
          <w:b w:val="0"/>
          <w:bCs/>
          <w:color w:val="FF0000"/>
          <w:sz w:val="21"/>
          <w:szCs w:val="21"/>
          <w:lang w:eastAsia="zh-CN"/>
        </w:rPr>
        <w:t>）</w:t>
      </w:r>
      <w:r>
        <w:rPr>
          <w:rFonts w:ascii="微软雅黑" w:eastAsia="微软雅黑" w:hAnsi="微软雅黑" w:cs="微软雅黑" w:hint="eastAsia"/>
          <w:b w:val="0"/>
          <w:bCs/>
          <w:color w:val="FF0000"/>
          <w:sz w:val="21"/>
          <w:szCs w:val="21"/>
        </w:rPr>
        <w:t>疗效性指标</w:t>
      </w:r>
    </w:p>
    <w:p w14:paraId="74ADCE5B">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①双下肢肌张力：</w:t>
      </w:r>
      <w:r>
        <w:rPr>
          <w:rFonts w:ascii="微软雅黑" w:eastAsia="微软雅黑" w:hAnsi="微软雅黑" w:cs="微软雅黑" w:hint="eastAsia"/>
          <w:b w:val="0"/>
          <w:bCs/>
          <w:color w:val="FF0000"/>
          <w:sz w:val="21"/>
          <w:szCs w:val="21"/>
        </w:rPr>
        <w:t>用改良Ashworth分级法评定，分级标准为0级（无肌张力增高），Ⅰ级（轻度增高，末端轻微阻力），Ⅰ+级（轻度增高，后1/4段明显阻力），Ⅱ级（中度增高，前1/2-1/3段阻力），Ⅲ级（重度增高，大部分区域阻力），Ⅳ级（极度增高，肢体僵硬）</w:t>
      </w:r>
      <w:r>
        <w:rPr>
          <w:rFonts w:ascii="微软雅黑" w:eastAsia="微软雅黑" w:hAnsi="微软雅黑" w:cs="微软雅黑" w:hint="eastAsia"/>
          <w:b w:val="0"/>
          <w:bCs/>
          <w:color w:val="FF0000"/>
          <w:sz w:val="21"/>
          <w:szCs w:val="21"/>
          <w:highlight w:val="yellow"/>
          <w:vertAlign w:val="superscript"/>
          <w:lang w:val="en-US" w:eastAsia="zh-CN"/>
        </w:rPr>
        <w:t>[6]</w:t>
      </w:r>
      <w:r>
        <w:rPr>
          <w:rFonts w:ascii="微软雅黑" w:eastAsia="微软雅黑" w:hAnsi="微软雅黑" w:cs="微软雅黑" w:hint="eastAsia"/>
          <w:b w:val="0"/>
          <w:bCs/>
          <w:color w:val="FF0000"/>
          <w:sz w:val="21"/>
          <w:szCs w:val="21"/>
        </w:rPr>
        <w:t>；②关节活动度测量双下肢内收肌角、腘窝角、足背屈角，每个指标测量3次取平均值；③综合痉挛量表（CSS）评分，该评价体系把跟腱反射、踝跖屈肌群肌张力和踝阵挛当作主要评价指标，用0到16分的评分体系来衡量肌张力异常的程度，分数越高说明肌张力异常的程度越严重。粗大运动功能测评（GMFM-88）中包括卧位和翻转、坐姿转换、爬行和跪行、站立稳定性、行走跳跃等五个主要方面，共88个项目，每个项目评分0-3分，总分为0-264分，得分越高表示患者的粗大运动能力越强。</w:t>
      </w:r>
    </w:p>
    <w:p w14:paraId="3B4227B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2"/>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疗效评定标准是根据残疾儿童功能评定体系建立的疗效应答模型，其计算公式为疗效率=终评得分-初评得分/量表满分值×100%。在此框架下，“显效”指评分为原始分值的20%以上增加；“有效”涵盖评分增幅在1%至19%之间的情形；若评分为零增长或呈负向变化，则被界定为“无效”。总体疗效应为显性和中性改善案例数量占总样本比例的百分比结果。</w:t>
      </w:r>
    </w:p>
    <w:p w14:paraId="3780A636">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outlineLvl w:val="2"/>
        <w:rPr>
          <w:rFonts w:ascii="微软雅黑" w:eastAsia="微软雅黑" w:hAnsi="微软雅黑" w:cs="微软雅黑" w:hint="eastAsia"/>
          <w:b w:val="0"/>
          <w:bCs/>
          <w:color w:val="FF0000"/>
          <w:sz w:val="21"/>
          <w:szCs w:val="21"/>
        </w:rPr>
      </w:pPr>
    </w:p>
    <w:p w14:paraId="25C9EFE7">
      <w:pPr>
        <w:keepNext w:val="0"/>
        <w:keepLines w:val="0"/>
        <w:pageBreakBefore w:val="0"/>
        <w:widowControl w:val="0"/>
        <w:numPr>
          <w:numId w:val="0"/>
        </w:numPr>
        <w:kinsoku/>
        <w:wordWrap/>
        <w:overflowPunct/>
        <w:topLinePunct w:val="0"/>
        <w:autoSpaceDE/>
        <w:autoSpaceDN/>
        <w:bidi w:val="0"/>
        <w:adjustRightInd/>
        <w:snapToGrid/>
        <w:spacing w:line="240" w:lineRule="auto"/>
        <w:jc w:val="left"/>
        <w:textAlignment w:val="auto"/>
        <w:rPr>
          <w:rFonts w:ascii="微软雅黑" w:eastAsia="微软雅黑" w:hAnsi="微软雅黑" w:cs="微软雅黑" w:hint="eastAsia"/>
          <w:b w:val="0"/>
          <w:bCs/>
          <w:color w:val="FF0000"/>
          <w:sz w:val="21"/>
          <w:szCs w:val="21"/>
        </w:rPr>
      </w:pPr>
    </w:p>
    <w:p w14:paraId="7834C97A">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2"/>
        <w:rPr>
          <w:rFonts w:ascii="微软雅黑" w:eastAsia="微软雅黑" w:hAnsi="微软雅黑" w:cs="微软雅黑" w:hint="eastAsia"/>
          <w:b w:val="0"/>
          <w:bCs/>
          <w:color w:val="FF0000"/>
          <w:sz w:val="21"/>
          <w:szCs w:val="21"/>
        </w:rPr>
      </w:pPr>
      <w:bookmarkStart w:id="5" w:name="heading_22"/>
      <w:r>
        <w:rPr>
          <w:rFonts w:ascii="微软雅黑" w:eastAsia="微软雅黑" w:hAnsi="微软雅黑" w:cs="微软雅黑" w:hint="eastAsia"/>
          <w:b w:val="0"/>
          <w:bCs/>
          <w:color w:val="FF0000"/>
          <w:sz w:val="21"/>
          <w:szCs w:val="21"/>
          <w:lang w:val="en-US" w:eastAsia="zh-CN"/>
        </w:rPr>
        <w:t>2.1</w:t>
      </w:r>
      <w:r>
        <w:rPr>
          <w:rFonts w:ascii="微软雅黑" w:eastAsia="微软雅黑" w:hAnsi="微软雅黑" w:cs="微软雅黑" w:hint="eastAsia"/>
          <w:b w:val="0"/>
          <w:bCs/>
          <w:color w:val="FF0000"/>
          <w:sz w:val="21"/>
          <w:szCs w:val="21"/>
        </w:rPr>
        <w:t>两组患儿治疗后生物学指标比较</w:t>
      </w:r>
      <w:bookmarkEnd w:id="5"/>
    </w:p>
    <w:p w14:paraId="467E3527">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r>
        <w:rPr>
          <w:rFonts w:ascii="微软雅黑" w:eastAsia="微软雅黑" w:hAnsi="微软雅黑" w:cs="微软雅黑" w:hint="eastAsia"/>
          <w:b w:val="0"/>
          <w:bCs/>
          <w:color w:val="FF0000"/>
          <w:sz w:val="21"/>
          <w:szCs w:val="21"/>
        </w:rPr>
        <w:t>干预措施实施之后，所有的研究对象的呼吸频率、体温和心率都处在正常范围内，并没有出现明显的异常变化。试验组身高增长量和体重增加量都比对照组大，经统计学分析发现两者之间有显著性差异</w:t>
      </w:r>
    </w:p>
    <w:p w14:paraId="299B9C57"/>
    <w:p w14:paraId="38AAE899">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outlineLvl w:val="1"/>
        <w:rPr>
          <w:rFonts w:ascii="微软雅黑" w:eastAsia="微软雅黑" w:hAnsi="微软雅黑" w:cs="微软雅黑" w:hint="eastAsia"/>
          <w:b w:val="0"/>
          <w:bCs/>
          <w:color w:val="FF0000"/>
          <w:sz w:val="21"/>
          <w:szCs w:val="21"/>
        </w:rPr>
      </w:pPr>
      <w:bookmarkStart w:id="6" w:name="heading_25"/>
      <w:r>
        <w:rPr>
          <w:rFonts w:ascii="微软雅黑" w:eastAsia="微软雅黑" w:hAnsi="微软雅黑" w:cs="微软雅黑" w:hint="eastAsia"/>
          <w:b/>
          <w:bCs w:val="0"/>
          <w:color w:val="FF0000"/>
          <w:sz w:val="21"/>
          <w:szCs w:val="21"/>
          <w:lang w:val="en-US" w:eastAsia="zh-CN"/>
        </w:rPr>
        <w:t>3</w:t>
      </w:r>
      <w:r>
        <w:rPr>
          <w:rFonts w:ascii="微软雅黑" w:eastAsia="微软雅黑" w:hAnsi="微软雅黑" w:cs="微软雅黑" w:hint="eastAsia"/>
          <w:b/>
          <w:bCs w:val="0"/>
          <w:color w:val="FF0000"/>
          <w:sz w:val="21"/>
          <w:szCs w:val="21"/>
        </w:rPr>
        <w:t>讨论</w:t>
      </w:r>
      <w:bookmarkEnd w:id="6"/>
    </w:p>
    <w:p w14:paraId="6D1B7774">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lang w:val="en-US" w:eastAsia="zh-CN"/>
        </w:rPr>
      </w:pPr>
      <w:r>
        <w:rPr>
          <w:rFonts w:ascii="微软雅黑" w:eastAsia="微软雅黑" w:hAnsi="微软雅黑" w:cs="微软雅黑" w:hint="eastAsia"/>
          <w:b w:val="0"/>
          <w:bCs/>
          <w:color w:val="FF0000"/>
          <w:sz w:val="21"/>
          <w:szCs w:val="21"/>
          <w:lang w:val="en-US" w:eastAsia="zh-CN"/>
        </w:rPr>
        <w:t>小儿痉挛型脑瘫是儿童神经系统发育障碍性疾病的一种常见类型，以中枢性运动障碍、肌张力增高和运动功能发育迟缓为主要特点，不但会阻碍患儿的生长发育进程，还会对其生活质量产生较大的影响，临床需要寻找安全有效的综合治疗方案</w:t>
      </w:r>
      <w:r>
        <w:rPr>
          <w:rFonts w:ascii="微软雅黑" w:eastAsia="微软雅黑" w:hAnsi="微软雅黑" w:cs="微软雅黑" w:hint="eastAsia"/>
          <w:b w:val="0"/>
          <w:bCs/>
          <w:color w:val="FF0000"/>
          <w:sz w:val="21"/>
          <w:szCs w:val="21"/>
          <w:highlight w:val="yellow"/>
          <w:vertAlign w:val="superscript"/>
          <w:lang w:val="en-US" w:eastAsia="zh-CN"/>
        </w:rPr>
        <w:t>[7]</w:t>
      </w:r>
      <w:r>
        <w:rPr>
          <w:rFonts w:ascii="微软雅黑" w:eastAsia="微软雅黑" w:hAnsi="微软雅黑" w:cs="微软雅黑" w:hint="eastAsia"/>
          <w:b w:val="0"/>
          <w:bCs/>
          <w:color w:val="FF0000"/>
          <w:sz w:val="21"/>
          <w:szCs w:val="21"/>
          <w:lang w:val="en-US" w:eastAsia="zh-CN"/>
        </w:rPr>
        <w:t>。</w:t>
      </w:r>
    </w:p>
    <w:p w14:paraId="70A5ED21"/>
    <w:p w14:paraId="7823D22B">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lang w:val="en-US" w:eastAsia="zh-CN"/>
        </w:rPr>
      </w:pPr>
      <w:r>
        <w:rPr>
          <w:rFonts w:ascii="微软雅黑" w:eastAsia="微软雅黑" w:hAnsi="微软雅黑" w:cs="微软雅黑" w:hint="eastAsia"/>
          <w:b w:val="0"/>
          <w:bCs/>
          <w:color w:val="FF0000"/>
          <w:sz w:val="21"/>
          <w:szCs w:val="21"/>
          <w:lang w:val="en-US" w:eastAsia="zh-CN"/>
        </w:rPr>
        <w:t>从研究结果可以看出，综合疗法对改善患儿的生长发育有较好的效果，试验组身高、体重增长都比单纯Bobath法治疗的对照组好，并且没有对患儿的生命体征产生不良影响</w:t>
      </w:r>
      <w:r>
        <w:rPr>
          <w:rFonts w:ascii="微软雅黑" w:eastAsia="微软雅黑" w:hAnsi="微软雅黑" w:cs="微软雅黑" w:hint="eastAsia"/>
          <w:b w:val="0"/>
          <w:bCs/>
          <w:color w:val="FF0000"/>
          <w:sz w:val="21"/>
          <w:szCs w:val="21"/>
          <w:highlight w:val="yellow"/>
          <w:vertAlign w:val="superscript"/>
          <w:lang w:val="en-US" w:eastAsia="zh-CN"/>
        </w:rPr>
        <w:t>[13-14]</w:t>
      </w:r>
      <w:r>
        <w:rPr>
          <w:rFonts w:ascii="微软雅黑" w:eastAsia="微软雅黑" w:hAnsi="微软雅黑" w:cs="微软雅黑" w:hint="eastAsia"/>
          <w:b w:val="0"/>
          <w:bCs/>
          <w:color w:val="FF0000"/>
          <w:sz w:val="21"/>
          <w:szCs w:val="21"/>
          <w:lang w:val="en-US" w:eastAsia="zh-CN"/>
        </w:rPr>
        <w:t>。从核心疗效指标上来说，综合疗法可以更有效地降低患儿双下肢肌张力、扩大关节活动度，改善痉挛状态、提高粗大运动功能，从而达到更高的治疗总有效率</w:t>
      </w:r>
      <w:r>
        <w:rPr>
          <w:rFonts w:ascii="微软雅黑" w:eastAsia="微软雅黑" w:hAnsi="微软雅黑" w:cs="微软雅黑" w:hint="eastAsia"/>
          <w:b w:val="0"/>
          <w:bCs/>
          <w:color w:val="FF0000"/>
          <w:sz w:val="21"/>
          <w:szCs w:val="21"/>
          <w:highlight w:val="yellow"/>
          <w:vertAlign w:val="superscript"/>
          <w:lang w:val="en-US" w:eastAsia="zh-CN"/>
        </w:rPr>
        <w:t>[15-17]</w:t>
      </w:r>
      <w:r>
        <w:rPr>
          <w:rFonts w:ascii="微软雅黑" w:eastAsia="微软雅黑" w:hAnsi="微软雅黑" w:cs="微软雅黑" w:hint="eastAsia"/>
          <w:b w:val="0"/>
          <w:bCs/>
          <w:color w:val="FF0000"/>
          <w:sz w:val="21"/>
          <w:szCs w:val="21"/>
          <w:lang w:val="en-US" w:eastAsia="zh-CN"/>
        </w:rPr>
        <w:t>。从安全性方面来说，两组患儿的实验室检查、心电图指标均在正常范围之内，试验组只出现一些轻微的皮肤发红，可以自行消退，并没有出现严重的不良反应，说明该综合疗法是安全的</w:t>
      </w:r>
      <w:r>
        <w:rPr>
          <w:rFonts w:ascii="微软雅黑" w:eastAsia="微软雅黑" w:hAnsi="微软雅黑" w:cs="微软雅黑" w:hint="eastAsia"/>
          <w:b w:val="0"/>
          <w:bCs/>
          <w:color w:val="FF0000"/>
          <w:sz w:val="21"/>
          <w:szCs w:val="21"/>
          <w:highlight w:val="yellow"/>
          <w:vertAlign w:val="superscript"/>
          <w:lang w:val="en-US" w:eastAsia="zh-CN"/>
        </w:rPr>
        <w:t>[18-20]</w:t>
      </w:r>
      <w:r>
        <w:rPr>
          <w:rFonts w:ascii="微软雅黑" w:eastAsia="微软雅黑" w:hAnsi="微软雅黑" w:cs="微软雅黑" w:hint="eastAsia"/>
          <w:b w:val="0"/>
          <w:bCs/>
          <w:color w:val="FF0000"/>
          <w:sz w:val="21"/>
          <w:szCs w:val="21"/>
          <w:lang w:val="en-US" w:eastAsia="zh-CN"/>
        </w:rPr>
        <w:t>。</w:t>
      </w:r>
    </w:p>
    <w:p w14:paraId="3D5D8B8F">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ascii="微软雅黑" w:eastAsia="微软雅黑" w:hAnsi="微软雅黑" w:cs="微软雅黑" w:hint="eastAsia"/>
          <w:b w:val="0"/>
          <w:bCs/>
          <w:color w:val="FF0000"/>
          <w:sz w:val="21"/>
          <w:szCs w:val="21"/>
          <w:lang w:val="en-US" w:eastAsia="zh-CN"/>
        </w:rPr>
      </w:pPr>
      <w:r>
        <w:rPr>
          <w:rFonts w:ascii="微软雅黑" w:eastAsia="微软雅黑" w:hAnsi="微软雅黑" w:cs="微软雅黑" w:hint="eastAsia"/>
          <w:b w:val="0"/>
          <w:bCs/>
          <w:color w:val="FF0000"/>
          <w:sz w:val="21"/>
          <w:szCs w:val="21"/>
          <w:lang w:val="en-US" w:eastAsia="zh-CN"/>
        </w:rPr>
        <w:t>综上所述，填髓柔筋穴位敷贴联合Bobath法的综合治疗方案，可以安全有效地改善小儿痉挛型脑瘫患儿的生长发育和运动功能，给临床康复治疗提供了一个实用的参考方案，值得推广使用。</w:t>
      </w:r>
    </w:p>
    <w:p w14:paraId="0E36F396">
      <w:bookmarkStart w:id="7" w:name="_GoBack"/>
      <w:bookmarkEnd w:id="7"/>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44D1D2"/>
    <w:multiLevelType w:val="singleLevel"/>
    <w:tmpl w:val="7D44D1D2"/>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7C7D47"/>
    <w:rsid w:val="667C7D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初展</dc:creator>
  <cp:lastModifiedBy>初展</cp:lastModifiedBy>
  <cp:revision>1</cp:revision>
  <dcterms:created xsi:type="dcterms:W3CDTF">2026-07-03T08:48:00Z</dcterms:created>
  <dcterms:modified xsi:type="dcterms:W3CDTF">2026-07-03T08:52:24Z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4ED292CA0F9E49719D6A4986EB3F673B_11</vt:lpwstr>
  </property>
  <property fmtid="{D5CDD505-2E9C-101B-9397-08002B2CF9AE}" pid="3" name="KSOProductBuildVer">
    <vt:lpwstr>2052-12.1.0.26895</vt:lpwstr>
  </property>
  <property fmtid="{D5CDD505-2E9C-101B-9397-08002B2CF9AE}" pid="4" name="KSOTemplateDocerSaveRecord">
    <vt:lpwstr>eyJoZGlkIjoiMDFiMTczNzEzMjM2YjdmMmQ2MzM3ZDU4MmZjYzdlNDQiLCJ1c2VySWQiOiI1ODIxNTk5MDgifQ==</vt:lpwstr>
  </property>
</Properties>
</file>