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Java 21.11.0 -->
  <w:body>
    <w:p w14:paraId="669F3242">
      <w:pPr>
        <w:keepNext w:val="0"/>
        <w:keepLines w:val="0"/>
        <w:pageBreakBefore w:val="0"/>
        <w:widowControl w:val="0"/>
        <w:kinsoku/>
        <w:wordWrap/>
        <w:overflowPunct/>
        <w:topLinePunct w:val="0"/>
        <w:autoSpaceDE/>
        <w:autoSpaceDN/>
        <w:bidi w:val="0"/>
        <w:adjustRightInd/>
        <w:snapToGrid/>
        <w:spacing w:line="360" w:lineRule="auto"/>
        <w:ind w:left="0"/>
        <w:jc w:val="left"/>
        <w:textAlignment w:val="auto"/>
        <w:rPr>
          <w:rFonts w:ascii="宋体" w:eastAsia="宋体" w:hAnsi="宋体" w:cs="宋体" w:hint="eastAsia"/>
          <w:b w:val="0"/>
          <w:bCs/>
          <w:sz w:val="21"/>
          <w:szCs w:val="21"/>
          <w:lang w:val="en-US" w:eastAsia="zh-CN"/>
        </w:rPr>
      </w:pPr>
    </w:p>
    <w:p w14:paraId="51913A7B">
      <w:pPr>
        <w:keepNext w:val="0"/>
        <w:keepLines w:val="0"/>
        <w:pageBreakBefore w:val="0"/>
        <w:widowControl w:val="0"/>
        <w:kinsoku/>
        <w:wordWrap/>
        <w:overflowPunct/>
        <w:topLinePunct w:val="0"/>
        <w:autoSpaceDE/>
        <w:autoSpaceDN/>
        <w:bidi w:val="0"/>
        <w:adjustRightInd/>
        <w:snapToGrid/>
        <w:spacing w:line="360" w:lineRule="auto"/>
        <w:ind w:left="0"/>
        <w:jc w:val="left"/>
        <w:textAlignment w:val="auto"/>
        <w:rPr>
          <w:rFonts w:ascii="宋体" w:eastAsia="宋体" w:hAnsi="宋体" w:cs="宋体" w:hint="eastAsia"/>
          <w:b w:val="0"/>
          <w:bCs/>
          <w:sz w:val="21"/>
          <w:szCs w:val="21"/>
          <w:lang w:val="en-US" w:eastAsia="zh-CN"/>
        </w:rPr>
      </w:pPr>
    </w:p>
    <w:p w14:paraId="20C3C12A">
      <w:pPr>
        <w:keepNext w:val="0"/>
        <w:keepLines w:val="0"/>
        <w:pageBreakBefore w:val="0"/>
        <w:widowControl w:val="0"/>
        <w:kinsoku/>
        <w:wordWrap/>
        <w:overflowPunct/>
        <w:topLinePunct w:val="0"/>
        <w:autoSpaceDE/>
        <w:autoSpaceDN/>
        <w:bidi w:val="0"/>
        <w:adjustRightInd/>
        <w:snapToGrid/>
        <w:spacing w:line="360" w:lineRule="auto"/>
        <w:ind w:left="0"/>
        <w:jc w:val="left"/>
        <w:textAlignment w:val="auto"/>
        <w:rPr>
          <w:rFonts w:ascii="宋体" w:eastAsia="宋体" w:hAnsi="宋体" w:cs="宋体" w:hint="eastAsia"/>
          <w:b w:val="0"/>
          <w:bCs/>
          <w:sz w:val="21"/>
          <w:szCs w:val="21"/>
          <w:lang w:val="en-US" w:eastAsia="zh-CN"/>
        </w:rPr>
      </w:pPr>
    </w:p>
    <w:p w14:paraId="4E13624F">
      <w:pPr>
        <w:keepNext w:val="0"/>
        <w:keepLines w:val="0"/>
        <w:pageBreakBefore w:val="0"/>
        <w:widowControl w:val="0"/>
        <w:kinsoku/>
        <w:wordWrap w:val="0"/>
        <w:overflowPunct/>
        <w:topLinePunct w:val="0"/>
        <w:autoSpaceDE w:val="0"/>
        <w:autoSpaceDN w:val="0"/>
        <w:bidi w:val="0"/>
        <w:adjustRightInd/>
        <w:snapToGrid/>
        <w:spacing w:line="288" w:lineRule="auto"/>
        <w:ind w:left="0"/>
        <w:jc w:val="center"/>
        <w:textAlignment w:val="auto"/>
        <w:outlineLvl w:val="0"/>
        <w:rPr>
          <w:rFonts w:ascii="宋体" w:eastAsia="宋体" w:hAnsi="宋体" w:cs="宋体" w:hint="eastAsia"/>
          <w:b w:val="0"/>
          <w:bCs/>
          <w:sz w:val="21"/>
          <w:szCs w:val="21"/>
        </w:rPr>
      </w:pPr>
      <w:bookmarkStart w:id="0" w:name="heading_0"/>
      <w:r>
        <w:rPr>
          <w:rFonts w:ascii="宋体" w:eastAsia="宋体" w:hAnsi="宋体" w:cs="宋体" w:hint="eastAsia"/>
          <w:b w:val="0"/>
          <w:bCs/>
          <w:sz w:val="21"/>
          <w:szCs w:val="21"/>
        </w:rPr>
        <w:t>基于多源感知融合的高速机电设备智能运维闭环体系构建与工程验证</w:t>
      </w:r>
      <w:bookmarkEnd w:id="0"/>
    </w:p>
    <w:p w14:paraId="3834DAAE">
      <w:pPr>
        <w:keepNext w:val="0"/>
        <w:keepLines w:val="0"/>
        <w:pageBreakBefore w:val="0"/>
        <w:widowControl w:val="0"/>
        <w:kinsoku/>
        <w:wordWrap w:val="0"/>
        <w:overflowPunct/>
        <w:topLinePunct w:val="0"/>
        <w:autoSpaceDE w:val="0"/>
        <w:autoSpaceDN w:val="0"/>
        <w:bidi w:val="0"/>
        <w:adjustRightInd/>
        <w:snapToGrid/>
        <w:spacing w:line="288" w:lineRule="auto"/>
        <w:ind w:left="0" w:firstLine="420" w:firstLineChars="200"/>
        <w:jc w:val="left"/>
        <w:textAlignment w:val="auto"/>
        <w:outlineLvl w:val="1"/>
        <w:rPr>
          <w:rFonts w:ascii="宋体" w:eastAsia="宋体" w:hAnsi="宋体" w:cs="宋体" w:hint="eastAsia"/>
          <w:b w:val="0"/>
          <w:bCs/>
          <w:sz w:val="21"/>
          <w:szCs w:val="21"/>
        </w:rPr>
      </w:pPr>
      <w:bookmarkStart w:id="1" w:name="heading_1"/>
    </w:p>
    <w:p w14:paraId="0A59C4F8">
      <w:pPr>
        <w:keepNext w:val="0"/>
        <w:keepLines w:val="0"/>
        <w:pageBreakBefore w:val="0"/>
        <w:widowControl w:val="0"/>
        <w:kinsoku/>
        <w:wordWrap w:val="0"/>
        <w:overflowPunct/>
        <w:topLinePunct w:val="0"/>
        <w:autoSpaceDE w:val="0"/>
        <w:autoSpaceDN w:val="0"/>
        <w:bidi w:val="0"/>
        <w:adjustRightInd/>
        <w:snapToGrid/>
        <w:spacing w:line="288" w:lineRule="auto"/>
        <w:ind w:left="0" w:firstLine="420" w:firstLineChars="200"/>
        <w:jc w:val="left"/>
        <w:textAlignment w:val="auto"/>
        <w:outlineLvl w:val="1"/>
        <w:rPr>
          <w:rFonts w:ascii="宋体" w:eastAsia="宋体" w:hAnsi="宋体" w:cs="宋体" w:hint="eastAsia"/>
          <w:b w:val="0"/>
          <w:bCs/>
          <w:sz w:val="21"/>
          <w:szCs w:val="21"/>
        </w:rPr>
      </w:pPr>
      <w:r>
        <w:rPr>
          <w:rFonts w:ascii="宋体" w:eastAsia="宋体" w:hAnsi="宋体" w:cs="宋体" w:hint="eastAsia"/>
          <w:b w:val="0"/>
          <w:bCs/>
          <w:sz w:val="21"/>
          <w:szCs w:val="21"/>
        </w:rPr>
        <w:t>摘要</w:t>
      </w:r>
      <w:bookmarkEnd w:id="1"/>
      <w:r>
        <w:rPr>
          <w:rFonts w:ascii="宋体" w:eastAsia="宋体" w:hAnsi="宋体" w:cs="宋体" w:hint="eastAsia"/>
          <w:b w:val="0"/>
          <w:bCs/>
          <w:sz w:val="21"/>
          <w:szCs w:val="21"/>
          <w:lang w:eastAsia="zh-CN"/>
        </w:rPr>
        <w:t>：</w:t>
      </w:r>
      <w:r>
        <w:rPr>
          <w:rFonts w:ascii="宋体" w:eastAsia="宋体" w:hAnsi="宋体" w:cs="宋体" w:hint="eastAsia"/>
          <w:b w:val="0"/>
          <w:bCs/>
          <w:sz w:val="21"/>
          <w:szCs w:val="21"/>
        </w:rPr>
        <w:t>根据高速公路机电系统老旧设备兼容性差、多业务子系统数据割裂、传统人工运维响应慢等工程问题，本文以多源感知融合技术为依托，构建设备故障量化判定模型，融合物联网传感、边缘计算、视频识别等多种监测方式，搭建轻量级数据融合管控平台，创建起“实时感知、故障分级预警、线上派单处置、复核归档”的全流程智能运维闭环体系。结合省内4条运营高速实测数据，分析智能设备布设、数据处理、人员管控三个层面存在的问题及原因，给出不同类型的设备布设、标准化数据去噪融合、闭环运维流程重构成套优化工艺。选取13km绕城高速进行工程实证，结果表明故障平均排查时间缩短64.3%，设备故障漏判率由原来的52.7%降到现在的8.3%，运维人力投入减少31.2%，可以给高速公路机电智能化升级、精细化运维提供量化技术方案。</w:t>
      </w:r>
    </w:p>
    <w:p w14:paraId="700AAF3E">
      <w:pPr>
        <w:keepNext w:val="0"/>
        <w:keepLines w:val="0"/>
        <w:pageBreakBefore w:val="0"/>
        <w:widowControl w:val="0"/>
        <w:kinsoku/>
        <w:wordWrap w:val="0"/>
        <w:overflowPunct/>
        <w:topLinePunct w:val="0"/>
        <w:autoSpaceDE w:val="0"/>
        <w:autoSpaceDN w:val="0"/>
        <w:bidi w:val="0"/>
        <w:adjustRightInd/>
        <w:snapToGrid/>
        <w:spacing w:line="288" w:lineRule="auto"/>
        <w:ind w:left="0" w:firstLine="420" w:firstLineChars="200"/>
        <w:jc w:val="left"/>
        <w:textAlignment w:val="auto"/>
        <w:outlineLvl w:val="1"/>
        <w:rPr>
          <w:rFonts w:ascii="宋体" w:eastAsia="宋体" w:hAnsi="宋体" w:cs="宋体" w:hint="eastAsia"/>
          <w:b w:val="0"/>
          <w:bCs/>
          <w:sz w:val="21"/>
          <w:szCs w:val="21"/>
        </w:rPr>
      </w:pPr>
      <w:bookmarkStart w:id="2" w:name="heading_2"/>
      <w:r>
        <w:rPr>
          <w:rFonts w:ascii="宋体" w:eastAsia="宋体" w:hAnsi="宋体" w:cs="宋体" w:hint="eastAsia"/>
          <w:b w:val="0"/>
          <w:bCs/>
          <w:sz w:val="21"/>
          <w:szCs w:val="21"/>
        </w:rPr>
        <w:t>关键词</w:t>
      </w:r>
      <w:bookmarkEnd w:id="2"/>
      <w:r>
        <w:rPr>
          <w:rFonts w:ascii="宋体" w:eastAsia="宋体" w:hAnsi="宋体" w:cs="宋体" w:hint="eastAsia"/>
          <w:b w:val="0"/>
          <w:bCs/>
          <w:sz w:val="21"/>
          <w:szCs w:val="21"/>
          <w:lang w:eastAsia="zh-CN"/>
        </w:rPr>
        <w:t>：</w:t>
      </w:r>
      <w:r>
        <w:rPr>
          <w:rFonts w:ascii="宋体" w:eastAsia="宋体" w:hAnsi="宋体" w:cs="宋体" w:hint="eastAsia"/>
          <w:b w:val="0"/>
          <w:bCs/>
          <w:sz w:val="21"/>
          <w:szCs w:val="21"/>
        </w:rPr>
        <w:t>高速公路机电；多源感知融合；故障量化模型；智能运维；闭环体系</w:t>
      </w:r>
    </w:p>
    <w:p w14:paraId="13155D29">
      <w:pPr>
        <w:keepNext w:val="0"/>
        <w:keepLines w:val="0"/>
        <w:pageBreakBefore w:val="0"/>
        <w:widowControl w:val="0"/>
        <w:kinsoku/>
        <w:wordWrap w:val="0"/>
        <w:overflowPunct/>
        <w:topLinePunct w:val="0"/>
        <w:autoSpaceDE w:val="0"/>
        <w:autoSpaceDN w:val="0"/>
        <w:bidi w:val="0"/>
        <w:adjustRightInd/>
        <w:snapToGrid/>
        <w:spacing w:line="288" w:lineRule="auto"/>
        <w:ind w:left="0" w:firstLine="420" w:firstLineChars="200"/>
        <w:jc w:val="left"/>
        <w:textAlignment w:val="auto"/>
        <w:outlineLvl w:val="1"/>
        <w:rPr>
          <w:rFonts w:ascii="宋体" w:eastAsia="宋体" w:hAnsi="宋体" w:cs="宋体" w:hint="eastAsia"/>
          <w:b w:val="0"/>
          <w:bCs/>
          <w:sz w:val="21"/>
          <w:szCs w:val="21"/>
        </w:rPr>
      </w:pPr>
      <w:bookmarkStart w:id="3" w:name="heading_4"/>
      <w:r>
        <w:rPr>
          <w:rFonts w:ascii="宋体" w:eastAsia="宋体" w:hAnsi="宋体" w:cs="宋体" w:hint="eastAsia"/>
          <w:b w:val="0"/>
          <w:bCs/>
          <w:sz w:val="21"/>
          <w:szCs w:val="21"/>
        </w:rPr>
        <w:t>引言</w:t>
      </w:r>
      <w:bookmarkEnd w:id="3"/>
    </w:p>
    <w:p w14:paraId="3DF47397">
      <w:pPr>
        <w:keepNext w:val="0"/>
        <w:keepLines w:val="0"/>
        <w:pageBreakBefore w:val="0"/>
        <w:widowControl w:val="0"/>
        <w:kinsoku/>
        <w:wordWrap w:val="0"/>
        <w:overflowPunct/>
        <w:topLinePunct w:val="0"/>
        <w:autoSpaceDE w:val="0"/>
        <w:autoSpaceDN w:val="0"/>
        <w:bidi w:val="0"/>
        <w:adjustRightInd/>
        <w:snapToGrid/>
        <w:spacing w:line="288" w:lineRule="auto"/>
        <w:ind w:left="0" w:firstLine="420" w:firstLineChars="200"/>
        <w:jc w:val="left"/>
        <w:textAlignment w:val="auto"/>
        <w:rPr>
          <w:rFonts w:ascii="宋体" w:eastAsia="宋体" w:hAnsi="宋体" w:cs="宋体" w:hint="eastAsia"/>
          <w:b w:val="0"/>
          <w:bCs/>
          <w:sz w:val="21"/>
          <w:szCs w:val="21"/>
        </w:rPr>
      </w:pPr>
      <w:r>
        <w:rPr>
          <w:rFonts w:ascii="宋体" w:eastAsia="宋体" w:hAnsi="宋体" w:cs="宋体" w:hint="eastAsia"/>
          <w:b w:val="0"/>
          <w:bCs/>
          <w:sz w:val="21"/>
          <w:szCs w:val="21"/>
        </w:rPr>
        <w:t>国内通车8年以上高速公路机电设备已经进入性能衰减期，监控、收费、通信、养护子系统分阶段建设造成数据孤岛，人工周期性巡检、故障事后抢修模式不能发现设备隐性劣化隐患。现有的智能化改造大多只是单一地安装传感终端，没有对多源感知数据进行融合算法的支持，也没有形成标准化的闭环运维流程，智能设备普遍存在着重安装、轻应用的问题。目前的研究大多集中于单一设备的监测技术上，缺少对故障量化判定、多源数据融合以及全流程闭环管控一体化体系的研究。本文创建机电设备故障量化评价模型，融合物联网、边缘计算、AI视频感知创建融合管控平台，配套成套落地工艺，依靠实体高速路段展开效能检验，克服已有研究工程落地性欠缺的短板。</w:t>
      </w:r>
    </w:p>
    <w:p w14:paraId="18F49794">
      <w:pPr>
        <w:keepNext w:val="0"/>
        <w:keepLines w:val="0"/>
        <w:pageBreakBefore w:val="0"/>
        <w:widowControl w:val="0"/>
        <w:kinsoku/>
        <w:wordWrap w:val="0"/>
        <w:overflowPunct/>
        <w:topLinePunct w:val="0"/>
        <w:autoSpaceDE w:val="0"/>
        <w:autoSpaceDN w:val="0"/>
        <w:bidi w:val="0"/>
        <w:adjustRightInd/>
        <w:snapToGrid/>
        <w:spacing w:line="288" w:lineRule="auto"/>
        <w:ind w:left="0"/>
        <w:jc w:val="left"/>
        <w:textAlignment w:val="auto"/>
        <w:outlineLvl w:val="0"/>
        <w:rPr>
          <w:rFonts w:ascii="宋体" w:eastAsia="宋体" w:hAnsi="宋体" w:cs="宋体" w:hint="eastAsia"/>
          <w:b w:val="0"/>
          <w:bCs/>
          <w:sz w:val="21"/>
          <w:szCs w:val="21"/>
        </w:rPr>
      </w:pPr>
      <w:bookmarkStart w:id="4" w:name="heading_15"/>
      <w:bookmarkStart w:id="5" w:name="_GoBack"/>
      <w:bookmarkEnd w:id="5"/>
      <w:r>
        <w:rPr>
          <w:rFonts w:ascii="宋体" w:eastAsia="宋体" w:hAnsi="宋体" w:cs="宋体" w:hint="eastAsia"/>
          <w:b w:val="0"/>
          <w:bCs/>
          <w:sz w:val="21"/>
          <w:szCs w:val="21"/>
          <w:lang w:val="en-US" w:eastAsia="zh-CN"/>
        </w:rPr>
        <w:t>3</w:t>
      </w:r>
      <w:r>
        <w:rPr>
          <w:rFonts w:ascii="宋体" w:eastAsia="宋体" w:hAnsi="宋体" w:cs="宋体" w:hint="eastAsia"/>
          <w:b w:val="0"/>
          <w:bCs/>
          <w:sz w:val="21"/>
          <w:szCs w:val="21"/>
        </w:rPr>
        <w:t>、智能运维闭环体系标准化实施工艺与工程实证分析</w:t>
      </w:r>
      <w:bookmarkEnd w:id="4"/>
    </w:p>
    <w:p w14:paraId="2FD3209C">
      <w:pPr>
        <w:keepNext w:val="0"/>
        <w:keepLines w:val="0"/>
        <w:pageBreakBefore w:val="0"/>
        <w:widowControl w:val="0"/>
        <w:kinsoku/>
        <w:wordWrap w:val="0"/>
        <w:overflowPunct/>
        <w:topLinePunct w:val="0"/>
        <w:autoSpaceDE w:val="0"/>
        <w:autoSpaceDN w:val="0"/>
        <w:bidi w:val="0"/>
        <w:adjustRightInd/>
        <w:snapToGrid/>
        <w:spacing w:line="288" w:lineRule="auto"/>
        <w:ind w:left="0" w:firstLine="420" w:firstLineChars="200"/>
        <w:jc w:val="left"/>
        <w:textAlignment w:val="auto"/>
        <w:rPr>
          <w:rFonts w:ascii="宋体" w:eastAsia="宋体" w:hAnsi="宋体" w:cs="宋体" w:hint="eastAsia"/>
          <w:b w:val="0"/>
          <w:bCs/>
          <w:sz w:val="21"/>
          <w:szCs w:val="21"/>
        </w:rPr>
      </w:pPr>
      <w:r>
        <w:rPr>
          <w:rFonts w:ascii="宋体" w:eastAsia="宋体" w:hAnsi="宋体" w:cs="宋体" w:hint="eastAsia"/>
          <w:b w:val="0"/>
          <w:bCs/>
          <w:sz w:val="21"/>
          <w:szCs w:val="21"/>
        </w:rPr>
        <w:t>多源感知设备在野外长时间运行需要标准化布设、数据处理、运维保障工艺保持稳定运行。选取 13km 绕城高速进行全流程落地应用，对传统运维模式进行量化对比，检验闭环体系综合管控效能。</w:t>
      </w:r>
    </w:p>
    <w:p w14:paraId="607F1BF9">
      <w:pPr>
        <w:keepNext w:val="0"/>
        <w:keepLines w:val="0"/>
        <w:pageBreakBefore w:val="0"/>
        <w:widowControl w:val="0"/>
        <w:kinsoku/>
        <w:wordWrap w:val="0"/>
        <w:overflowPunct/>
        <w:topLinePunct w:val="0"/>
        <w:autoSpaceDE w:val="0"/>
        <w:autoSpaceDN w:val="0"/>
        <w:bidi w:val="0"/>
        <w:adjustRightInd/>
        <w:snapToGrid/>
        <w:spacing w:line="288" w:lineRule="auto"/>
        <w:ind w:left="0"/>
        <w:jc w:val="left"/>
        <w:textAlignment w:val="auto"/>
        <w:outlineLvl w:val="1"/>
        <w:rPr>
          <w:rFonts w:ascii="宋体" w:eastAsia="宋体" w:hAnsi="宋体" w:cs="宋体" w:hint="eastAsia"/>
          <w:b w:val="0"/>
          <w:bCs/>
          <w:sz w:val="21"/>
          <w:szCs w:val="21"/>
        </w:rPr>
      </w:pPr>
      <w:bookmarkStart w:id="6" w:name="heading_16"/>
      <w:r>
        <w:rPr>
          <w:rFonts w:ascii="宋体" w:eastAsia="宋体" w:hAnsi="宋体" w:cs="宋体" w:hint="eastAsia"/>
          <w:b w:val="0"/>
          <w:bCs/>
          <w:sz w:val="21"/>
          <w:szCs w:val="21"/>
        </w:rPr>
        <w:t>3.1 多源感知终端标准化安装与运维校准工艺</w:t>
      </w:r>
      <w:bookmarkEnd w:id="6"/>
    </w:p>
    <w:p w14:paraId="0EF7FFA5">
      <w:pPr>
        <w:keepNext w:val="0"/>
        <w:keepLines w:val="0"/>
        <w:pageBreakBefore w:val="0"/>
        <w:widowControl w:val="0"/>
        <w:kinsoku/>
        <w:wordWrap w:val="0"/>
        <w:overflowPunct/>
        <w:topLinePunct w:val="0"/>
        <w:autoSpaceDE w:val="0"/>
        <w:autoSpaceDN w:val="0"/>
        <w:bidi w:val="0"/>
        <w:adjustRightInd/>
        <w:snapToGrid/>
        <w:spacing w:line="288" w:lineRule="auto"/>
        <w:ind w:left="0" w:firstLine="420" w:firstLineChars="200"/>
        <w:jc w:val="left"/>
        <w:textAlignment w:val="auto"/>
        <w:rPr>
          <w:rFonts w:ascii="宋体" w:eastAsia="宋体" w:hAnsi="宋体" w:cs="宋体" w:hint="eastAsia"/>
          <w:b w:val="0"/>
          <w:bCs/>
          <w:sz w:val="21"/>
          <w:szCs w:val="21"/>
        </w:rPr>
      </w:pPr>
      <w:r>
        <w:rPr>
          <w:rFonts w:ascii="宋体" w:eastAsia="宋体" w:hAnsi="宋体" w:cs="宋体" w:hint="eastAsia"/>
          <w:b w:val="0"/>
          <w:bCs/>
          <w:sz w:val="21"/>
          <w:szCs w:val="21"/>
        </w:rPr>
        <w:t>全线感知设备进场时监理对传感精度、无线传输稳定性进行校验，保存计量标定记录，沿线路基延伸同步增加采集终端，一级故障加密区段随施工同步布设。传感信号线用防水阻燃套管埋设在地里25cm以上，防止车辆碾压、土方开挖破坏线路；隧道内设备加装防潮加热装置，防止水汽侵蚀引起数值漂移。</w:t>
      </w:r>
    </w:p>
    <w:p>
      <w:pPr>
        <w:keepNext w:val="0"/>
        <w:keepLines w:val="0"/>
        <w:pageBreakBefore w:val="0"/>
        <w:widowControl w:val="0"/>
        <w:kinsoku/>
        <w:wordWrap w:val="0"/>
        <w:overflowPunct/>
        <w:topLinePunct w:val="0"/>
        <w:autoSpaceDE w:val="0"/>
        <w:autoSpaceDN w:val="0"/>
        <w:bidi w:val="0"/>
        <w:adjustRightInd/>
        <w:snapToGrid/>
        <w:spacing w:line="288" w:lineRule="auto"/>
        <w:ind w:left="0" w:firstLine="420" w:firstLineChars="200"/>
        <w:jc w:val="left"/>
        <w:textAlignment w:val="auto"/>
        <w:rPr>
          <w:rFonts w:ascii="宋体" w:eastAsia="宋体" w:hAnsi="宋体" w:cs="宋体" w:hint="eastAsia"/>
          <w:b w:val="0"/>
          <w:bCs/>
          <w:sz w:val="21"/>
          <w:szCs w:val="21"/>
        </w:rPr>
      </w:pPr>
      <w:r>
        <w:rPr>
          <w:rFonts w:ascii="宋体" w:eastAsia="宋体" w:hAnsi="宋体" w:cs="宋体" w:hint="eastAsia"/>
          <w:b w:val="0"/>
          <w:bCs/>
          <w:sz w:val="21"/>
          <w:szCs w:val="21"/>
        </w:rPr>
        <w:t>建立周巡检、月校准制度，专职运维人员每周对全线终端供电、传输情况进行检查，每月对电流、电压、位移传感设备进行计量校准，使设备参数偏差控制在±2%以内，故障终端24小时内完成更换修复。制定高速机电多源感知设备操作规程，统一设备调试、故障排除、数据导出的标准，保证多源感知系统全年稳定采集到有效的数据。</w:t>
      </w:r>
    </w:p>
    <w:p w14:paraId="23280BD9">
      <w:pPr>
        <w:keepNext w:val="0"/>
        <w:keepLines w:val="0"/>
        <w:pageBreakBefore w:val="0"/>
        <w:widowControl w:val="0"/>
        <w:kinsoku/>
        <w:wordWrap w:val="0"/>
        <w:overflowPunct/>
        <w:topLinePunct w:val="0"/>
        <w:autoSpaceDE w:val="0"/>
        <w:autoSpaceDN w:val="0"/>
        <w:bidi w:val="0"/>
        <w:adjustRightInd/>
        <w:snapToGrid/>
        <w:spacing w:line="288" w:lineRule="auto"/>
        <w:ind w:left="0"/>
        <w:jc w:val="left"/>
        <w:textAlignment w:val="auto"/>
        <w:outlineLvl w:val="1"/>
        <w:rPr>
          <w:rFonts w:ascii="宋体" w:eastAsia="宋体" w:hAnsi="宋体" w:cs="宋体" w:hint="eastAsia"/>
          <w:b w:val="0"/>
          <w:bCs/>
          <w:sz w:val="21"/>
          <w:szCs w:val="21"/>
        </w:rPr>
      </w:pPr>
      <w:bookmarkStart w:id="7" w:name="heading_17"/>
      <w:r>
        <w:rPr>
          <w:rFonts w:ascii="宋体" w:eastAsia="宋体" w:hAnsi="宋体" w:cs="宋体" w:hint="eastAsia"/>
          <w:b w:val="0"/>
          <w:bCs/>
          <w:sz w:val="21"/>
          <w:szCs w:val="21"/>
        </w:rPr>
        <w:t>3.2 故障预警线上全闭环标准化处置流程</w:t>
      </w:r>
      <w:bookmarkEnd w:id="7"/>
    </w:p>
    <w:p w14:paraId="3FAF07F2">
      <w:pPr>
        <w:keepNext w:val="0"/>
        <w:keepLines w:val="0"/>
        <w:pageBreakBefore w:val="0"/>
        <w:widowControl w:val="0"/>
        <w:kinsoku/>
        <w:wordWrap w:val="0"/>
        <w:overflowPunct/>
        <w:topLinePunct w:val="0"/>
        <w:autoSpaceDE w:val="0"/>
        <w:autoSpaceDN w:val="0"/>
        <w:bidi w:val="0"/>
        <w:adjustRightInd/>
        <w:snapToGrid/>
        <w:spacing w:line="288" w:lineRule="auto"/>
        <w:ind w:left="0" w:firstLine="420" w:firstLineChars="200"/>
        <w:jc w:val="left"/>
        <w:textAlignment w:val="auto"/>
        <w:rPr>
          <w:rFonts w:ascii="宋体" w:eastAsia="宋体" w:hAnsi="宋体" w:cs="宋体" w:hint="eastAsia"/>
          <w:b w:val="0"/>
          <w:bCs/>
          <w:sz w:val="21"/>
          <w:szCs w:val="21"/>
        </w:rPr>
      </w:pPr>
      <w:r>
        <w:rPr>
          <w:rFonts w:ascii="宋体" w:eastAsia="宋体" w:hAnsi="宋体" w:cs="宋体" w:hint="eastAsia"/>
          <w:b w:val="0"/>
          <w:bCs/>
          <w:sz w:val="21"/>
          <w:szCs w:val="21"/>
        </w:rPr>
        <w:t>平台创建了“多源感知采集、故障指数计算、分级预警推送、运维人员接单、现场故障处理、整改影像上传、平台复核归档”七个环节的闭环处理流程。运维人员接到工单后携带配套工具到达故障点位，对设备进行检修、更换模块、加固线路等作业，上传整改前后对比影像。</w:t>
      </w:r>
    </w:p>
    <w:p>
      <w:pPr>
        <w:keepNext w:val="0"/>
        <w:keepLines w:val="0"/>
        <w:pageBreakBefore w:val="0"/>
        <w:widowControl w:val="0"/>
        <w:kinsoku/>
        <w:wordWrap w:val="0"/>
        <w:overflowPunct/>
        <w:topLinePunct w:val="0"/>
        <w:autoSpaceDE w:val="0"/>
        <w:autoSpaceDN w:val="0"/>
        <w:bidi w:val="0"/>
        <w:adjustRightInd/>
        <w:snapToGrid/>
        <w:spacing w:line="288" w:lineRule="auto"/>
        <w:ind w:left="0" w:firstLine="420" w:firstLineChars="200"/>
        <w:jc w:val="left"/>
        <w:textAlignment w:val="auto"/>
        <w:rPr>
          <w:rFonts w:ascii="宋体" w:eastAsia="宋体" w:hAnsi="宋体" w:cs="宋体" w:hint="eastAsia"/>
          <w:b w:val="0"/>
          <w:bCs/>
          <w:sz w:val="21"/>
          <w:szCs w:val="21"/>
        </w:rPr>
      </w:pPr>
      <w:r>
        <w:rPr>
          <w:rFonts w:ascii="宋体" w:eastAsia="宋体" w:hAnsi="宋体" w:cs="宋体" w:hint="eastAsia"/>
          <w:b w:val="0"/>
          <w:bCs/>
          <w:sz w:val="21"/>
          <w:szCs w:val="21"/>
        </w:rPr>
        <w:t>系统可以调取历史传感曲线、AI视频记录智能复核，故障指数回落到阈值内自动闭环；未达标持续推送整改提醒，直到隐患彻底消除为止。所有的预警工单、处理影像、设备更换记录双磁盘永久保存，防止数据丢失。工程实测数据表明闭环流程使故障平均处理时间由原来的3.8h降低到现在的1.36h，隐患整改完成率也由原来的72.3%提高到现在的100%，消除了由于管理漏洞造成的故障整改遗漏、无追溯等问题。</w:t>
      </w:r>
    </w:p>
    <w:p w14:paraId="2168CF61">
      <w:pPr>
        <w:keepNext w:val="0"/>
        <w:keepLines w:val="0"/>
        <w:pageBreakBefore w:val="0"/>
        <w:widowControl w:val="0"/>
        <w:kinsoku/>
        <w:wordWrap w:val="0"/>
        <w:overflowPunct/>
        <w:topLinePunct w:val="0"/>
        <w:autoSpaceDE w:val="0"/>
        <w:autoSpaceDN w:val="0"/>
        <w:bidi w:val="0"/>
        <w:adjustRightInd/>
        <w:snapToGrid/>
        <w:spacing w:line="288" w:lineRule="auto"/>
        <w:ind w:left="0"/>
        <w:jc w:val="left"/>
        <w:textAlignment w:val="auto"/>
        <w:outlineLvl w:val="1"/>
        <w:rPr>
          <w:rFonts w:ascii="宋体" w:eastAsia="宋体" w:hAnsi="宋体" w:cs="宋体" w:hint="eastAsia"/>
          <w:b w:val="0"/>
          <w:bCs/>
          <w:sz w:val="21"/>
          <w:szCs w:val="21"/>
        </w:rPr>
      </w:pPr>
      <w:bookmarkStart w:id="8" w:name="heading_18"/>
      <w:r>
        <w:rPr>
          <w:rFonts w:ascii="宋体" w:eastAsia="宋体" w:hAnsi="宋体" w:cs="宋体" w:hint="eastAsia"/>
          <w:b w:val="0"/>
          <w:bCs/>
          <w:sz w:val="21"/>
          <w:szCs w:val="21"/>
        </w:rPr>
        <w:t>3.3 运维人员实操培训与长效管理保障机制</w:t>
      </w:r>
      <w:bookmarkEnd w:id="8"/>
    </w:p>
    <w:p w14:paraId="6C335556">
      <w:pPr>
        <w:keepNext w:val="0"/>
        <w:keepLines w:val="0"/>
        <w:pageBreakBefore w:val="0"/>
        <w:widowControl w:val="0"/>
        <w:kinsoku/>
        <w:wordWrap w:val="0"/>
        <w:overflowPunct/>
        <w:topLinePunct w:val="0"/>
        <w:autoSpaceDE w:val="0"/>
        <w:autoSpaceDN w:val="0"/>
        <w:bidi w:val="0"/>
        <w:adjustRightInd/>
        <w:snapToGrid/>
        <w:spacing w:line="288" w:lineRule="auto"/>
        <w:ind w:left="0" w:firstLine="420" w:firstLineChars="200"/>
        <w:jc w:val="left"/>
        <w:textAlignment w:val="auto"/>
        <w:rPr>
          <w:rFonts w:ascii="宋体" w:eastAsia="宋体" w:hAnsi="宋体" w:cs="宋体" w:hint="eastAsia"/>
          <w:b w:val="0"/>
          <w:bCs/>
          <w:sz w:val="21"/>
          <w:szCs w:val="21"/>
        </w:rPr>
      </w:pPr>
      <w:r>
        <w:rPr>
          <w:rFonts w:ascii="宋体" w:eastAsia="宋体" w:hAnsi="宋体" w:cs="宋体" w:hint="eastAsia"/>
          <w:b w:val="0"/>
          <w:bCs/>
          <w:sz w:val="21"/>
          <w:szCs w:val="21"/>
        </w:rPr>
        <w:t>摒弃传统的理论教学模式，用真实的路段在用机电设备、真实故障场景来开展实景实操培训，重点对感知终端调试、平台故障指数研判、边缘计算数据处理、线上闭环工单操作这四个实操内容进行讲解。实行老带新帮扶、月度故障模拟考核制度，考核合格后才能独立完成运维工作。</w:t>
      </w:r>
    </w:p>
    <w:p>
      <w:pPr>
        <w:keepNext w:val="0"/>
        <w:keepLines w:val="0"/>
        <w:pageBreakBefore w:val="0"/>
        <w:widowControl w:val="0"/>
        <w:kinsoku/>
        <w:wordWrap w:val="0"/>
        <w:overflowPunct/>
        <w:topLinePunct w:val="0"/>
        <w:autoSpaceDE w:val="0"/>
        <w:autoSpaceDN w:val="0"/>
        <w:bidi w:val="0"/>
        <w:adjustRightInd/>
        <w:snapToGrid/>
        <w:spacing w:line="288" w:lineRule="auto"/>
        <w:ind w:left="0" w:firstLine="420" w:firstLineChars="200"/>
        <w:jc w:val="left"/>
        <w:textAlignment w:val="auto"/>
        <w:rPr>
          <w:rFonts w:ascii="宋体" w:eastAsia="宋体" w:hAnsi="宋体" w:cs="宋体" w:hint="eastAsia"/>
          <w:b w:val="0"/>
          <w:bCs/>
          <w:sz w:val="21"/>
          <w:szCs w:val="21"/>
        </w:rPr>
      </w:pPr>
      <w:r>
        <w:rPr>
          <w:rFonts w:ascii="宋体" w:eastAsia="宋体" w:hAnsi="宋体" w:cs="宋体" w:hint="eastAsia"/>
          <w:b w:val="0"/>
          <w:bCs/>
          <w:sz w:val="21"/>
          <w:szCs w:val="21"/>
        </w:rPr>
        <w:t>完善内部智能运维管理细则，实行双人数据复核、预警抽样校验固定制度，人工录入数据错误率由原来的 18.2% 降到现在的 2.1%。对巡检排班模式进行优化，将原来的固定全覆盖巡检改为智能预警为主、人工定点抽查为辅，减少无效巡检里程，运维人力投入同比降低 31.2%，充分发挥多源感知融合技术的降本增效作用。</w:t>
      </w:r>
    </w:p>
    <w:p w14:paraId="3C87AAD5">
      <w:pPr>
        <w:keepNext w:val="0"/>
        <w:keepLines w:val="0"/>
        <w:pageBreakBefore w:val="0"/>
        <w:widowControl w:val="0"/>
        <w:kinsoku/>
        <w:wordWrap w:val="0"/>
        <w:overflowPunct/>
        <w:topLinePunct w:val="0"/>
        <w:autoSpaceDE w:val="0"/>
        <w:autoSpaceDN w:val="0"/>
        <w:bidi w:val="0"/>
        <w:adjustRightInd/>
        <w:snapToGrid/>
        <w:spacing w:line="288" w:lineRule="auto"/>
        <w:ind w:left="0"/>
        <w:jc w:val="left"/>
        <w:textAlignment w:val="auto"/>
        <w:outlineLvl w:val="1"/>
        <w:rPr>
          <w:rFonts w:ascii="宋体" w:eastAsia="宋体" w:hAnsi="宋体" w:cs="宋体" w:hint="eastAsia"/>
          <w:b w:val="0"/>
          <w:bCs/>
          <w:sz w:val="21"/>
          <w:szCs w:val="21"/>
        </w:rPr>
      </w:pPr>
      <w:bookmarkStart w:id="9" w:name="heading_19"/>
      <w:r>
        <w:rPr>
          <w:rFonts w:ascii="宋体" w:eastAsia="宋体" w:hAnsi="宋体" w:cs="宋体" w:hint="eastAsia"/>
          <w:b w:val="0"/>
          <w:bCs/>
          <w:sz w:val="21"/>
          <w:szCs w:val="21"/>
        </w:rPr>
        <w:t>3.4 绕城高速实体工程量化成效对比验证</w:t>
      </w:r>
      <w:bookmarkEnd w:id="9"/>
    </w:p>
    <w:p w14:paraId="0958C500">
      <w:pPr>
        <w:keepNext w:val="0"/>
        <w:keepLines w:val="0"/>
        <w:pageBreakBefore w:val="0"/>
        <w:widowControl w:val="0"/>
        <w:kinsoku/>
        <w:wordWrap w:val="0"/>
        <w:overflowPunct/>
        <w:topLinePunct w:val="0"/>
        <w:autoSpaceDE w:val="0"/>
        <w:autoSpaceDN w:val="0"/>
        <w:bidi w:val="0"/>
        <w:adjustRightInd/>
        <w:snapToGrid/>
        <w:spacing w:line="288" w:lineRule="auto"/>
        <w:ind w:left="0" w:firstLine="420" w:firstLineChars="200"/>
        <w:jc w:val="left"/>
        <w:textAlignment w:val="auto"/>
        <w:rPr>
          <w:rFonts w:ascii="宋体" w:eastAsia="宋体" w:hAnsi="宋体" w:cs="宋体" w:hint="eastAsia"/>
          <w:b w:val="0"/>
          <w:bCs/>
          <w:sz w:val="21"/>
          <w:szCs w:val="21"/>
        </w:rPr>
      </w:pPr>
      <w:r>
        <w:rPr>
          <w:rFonts w:ascii="宋体" w:eastAsia="宋体" w:hAnsi="宋体" w:cs="宋体" w:hint="eastAsia"/>
          <w:b w:val="0"/>
          <w:bCs/>
          <w:sz w:val="21"/>
          <w:szCs w:val="21"/>
        </w:rPr>
        <w:t>选取省内某 13km 城市绕城高速为实证工程，全线监控、收费、通信机电系统同步安装多源感知终端，落地本文智能运维闭环体系，连续 6 个月采集运维量化数据，与改造前传统模式对比。</w:t>
      </w:r>
    </w:p>
    <w:p w14:paraId="36D95C66">
      <w:pPr>
        <w:keepNext w:val="0"/>
        <w:keepLines w:val="0"/>
        <w:pageBreakBefore w:val="0"/>
        <w:widowControl w:val="0"/>
        <w:numPr>
          <w:ilvl w:val="0"/>
          <w:numId w:val="1"/>
        </w:numPr>
        <w:kinsoku/>
        <w:wordWrap w:val="0"/>
        <w:overflowPunct/>
        <w:topLinePunct w:val="0"/>
        <w:autoSpaceDE w:val="0"/>
        <w:autoSpaceDN w:val="0"/>
        <w:bidi w:val="0"/>
        <w:adjustRightInd/>
        <w:snapToGrid/>
        <w:spacing w:line="288" w:lineRule="auto"/>
        <w:ind w:left="0"/>
        <w:jc w:val="left"/>
        <w:textAlignment w:val="auto"/>
        <w:rPr>
          <w:rFonts w:ascii="宋体" w:eastAsia="宋体" w:hAnsi="宋体" w:cs="宋体" w:hint="eastAsia"/>
          <w:b w:val="0"/>
          <w:bCs/>
          <w:sz w:val="21"/>
          <w:szCs w:val="21"/>
        </w:rPr>
      </w:pPr>
      <w:r>
        <w:rPr>
          <w:rFonts w:ascii="宋体" w:eastAsia="宋体" w:hAnsi="宋体" w:cs="宋体" w:hint="eastAsia"/>
          <w:b w:val="0"/>
          <w:bCs/>
          <w:sz w:val="21"/>
          <w:szCs w:val="21"/>
        </w:rPr>
        <w:t>故障排查传统模式单故障平均排查时长42min，融合体系仅15min，时长缩短64.3%；</w:t>
      </w:r>
    </w:p>
    <w:p w14:paraId="63448C47">
      <w:pPr>
        <w:keepNext w:val="0"/>
        <w:keepLines w:val="0"/>
        <w:pageBreakBefore w:val="0"/>
        <w:widowControl w:val="0"/>
        <w:numPr>
          <w:ilvl w:val="0"/>
          <w:numId w:val="2"/>
        </w:numPr>
        <w:kinsoku/>
        <w:wordWrap w:val="0"/>
        <w:overflowPunct/>
        <w:topLinePunct w:val="0"/>
        <w:autoSpaceDE w:val="0"/>
        <w:autoSpaceDN w:val="0"/>
        <w:bidi w:val="0"/>
        <w:adjustRightInd/>
        <w:snapToGrid/>
        <w:spacing w:line="288" w:lineRule="auto"/>
        <w:ind w:left="0"/>
        <w:jc w:val="left"/>
        <w:textAlignment w:val="auto"/>
        <w:rPr>
          <w:rFonts w:ascii="宋体" w:eastAsia="宋体" w:hAnsi="宋体" w:cs="宋体" w:hint="eastAsia"/>
          <w:b w:val="0"/>
          <w:bCs/>
          <w:sz w:val="21"/>
          <w:szCs w:val="21"/>
        </w:rPr>
      </w:pPr>
      <w:r>
        <w:rPr>
          <w:rFonts w:ascii="宋体" w:eastAsia="宋体" w:hAnsi="宋体" w:cs="宋体" w:hint="eastAsia"/>
          <w:b w:val="0"/>
          <w:bCs/>
          <w:sz w:val="21"/>
          <w:szCs w:val="21"/>
        </w:rPr>
        <w:t>故障漏判率传统人工巡检52.7%，多源交叉感知漏判率降低到8.3%；</w:t>
      </w:r>
    </w:p>
    <w:p w14:paraId="093029BA">
      <w:pPr>
        <w:keepNext w:val="0"/>
        <w:keepLines w:val="0"/>
        <w:pageBreakBefore w:val="0"/>
        <w:widowControl w:val="0"/>
        <w:numPr>
          <w:ilvl w:val="0"/>
          <w:numId w:val="3"/>
        </w:numPr>
        <w:kinsoku/>
        <w:wordWrap w:val="0"/>
        <w:overflowPunct/>
        <w:topLinePunct w:val="0"/>
        <w:autoSpaceDE w:val="0"/>
        <w:autoSpaceDN w:val="0"/>
        <w:bidi w:val="0"/>
        <w:adjustRightInd/>
        <w:snapToGrid/>
        <w:spacing w:line="288" w:lineRule="auto"/>
        <w:ind w:left="0"/>
        <w:jc w:val="left"/>
        <w:textAlignment w:val="auto"/>
        <w:rPr>
          <w:rFonts w:ascii="宋体" w:eastAsia="宋体" w:hAnsi="宋体" w:cs="宋体" w:hint="eastAsia"/>
          <w:b w:val="0"/>
          <w:bCs/>
          <w:sz w:val="21"/>
          <w:szCs w:val="21"/>
        </w:rPr>
      </w:pPr>
      <w:r>
        <w:rPr>
          <w:rFonts w:ascii="宋体" w:eastAsia="宋体" w:hAnsi="宋体" w:cs="宋体" w:hint="eastAsia"/>
          <w:b w:val="0"/>
          <w:bCs/>
          <w:sz w:val="21"/>
          <w:szCs w:val="21"/>
        </w:rPr>
        <w:t>人力成本原配置15人，改造后精简为10人，人力投入减少31.2%；</w:t>
      </w:r>
    </w:p>
    <w:p w14:paraId="1EB81FA1">
      <w:pPr>
        <w:keepNext w:val="0"/>
        <w:keepLines w:val="0"/>
        <w:pageBreakBefore w:val="0"/>
        <w:widowControl w:val="0"/>
        <w:numPr>
          <w:ilvl w:val="0"/>
          <w:numId w:val="4"/>
        </w:numPr>
        <w:kinsoku/>
        <w:wordWrap w:val="0"/>
        <w:overflowPunct/>
        <w:topLinePunct w:val="0"/>
        <w:autoSpaceDE w:val="0"/>
        <w:autoSpaceDN w:val="0"/>
        <w:bidi w:val="0"/>
        <w:adjustRightInd/>
        <w:snapToGrid/>
        <w:spacing w:line="288" w:lineRule="auto"/>
        <w:ind w:left="0"/>
        <w:jc w:val="left"/>
        <w:textAlignment w:val="auto"/>
        <w:rPr>
          <w:rFonts w:ascii="宋体" w:eastAsia="宋体" w:hAnsi="宋体" w:cs="宋体" w:hint="eastAsia"/>
          <w:b w:val="0"/>
          <w:bCs/>
          <w:sz w:val="21"/>
          <w:szCs w:val="21"/>
        </w:rPr>
      </w:pPr>
      <w:r>
        <w:rPr>
          <w:rFonts w:ascii="宋体" w:eastAsia="宋体" w:hAnsi="宋体" w:cs="宋体" w:hint="eastAsia"/>
          <w:b w:val="0"/>
          <w:bCs/>
          <w:sz w:val="21"/>
          <w:szCs w:val="21"/>
        </w:rPr>
        <w:t>故障复发率从原来的11次下降到现在的2次，可以提前7～12天发出设备隐性劣化隐患的预警。</w:t>
      </w:r>
    </w:p>
    <w:p>
      <w:pPr>
        <w:keepNext w:val="0"/>
        <w:keepLines w:val="0"/>
        <w:pageBreakBefore w:val="0"/>
        <w:widowControl w:val="0"/>
        <w:numPr>
          <w:ilvl w:val="0"/>
          <w:numId w:val="4"/>
        </w:numPr>
        <w:kinsoku/>
        <w:wordWrap w:val="0"/>
        <w:overflowPunct/>
        <w:topLinePunct w:val="0"/>
        <w:autoSpaceDE w:val="0"/>
        <w:autoSpaceDN w:val="0"/>
        <w:bidi w:val="0"/>
        <w:adjustRightInd/>
        <w:snapToGrid/>
        <w:spacing w:line="288" w:lineRule="auto"/>
        <w:ind w:left="0"/>
        <w:jc w:val="left"/>
        <w:textAlignment w:val="auto"/>
        <w:rPr>
          <w:rFonts w:ascii="宋体" w:eastAsia="宋体" w:hAnsi="宋体" w:cs="宋体" w:hint="eastAsia"/>
          <w:b w:val="0"/>
          <w:bCs/>
          <w:sz w:val="21"/>
          <w:szCs w:val="21"/>
        </w:rPr>
      </w:pPr>
      <w:r>
        <w:rPr>
          <w:rFonts w:ascii="宋体" w:eastAsia="宋体" w:hAnsi="宋体" w:cs="宋体" w:hint="eastAsia"/>
          <w:b w:val="0"/>
          <w:bCs/>
          <w:sz w:val="21"/>
          <w:szCs w:val="21"/>
        </w:rPr>
        <w:t>工程实证表明，多源感知融合闭环运维体系可以准确地识别出机电设备各个方面的故障，大大提高了运维响应速度，降低了人工成本，有全行业高速公路机电改造推广的价值。</w:t>
      </w:r>
    </w:p>
    <w:p w14:paraId="6A55D8D6">
      <w:pPr>
        <w:keepNext w:val="0"/>
        <w:keepLines w:val="0"/>
        <w:pageBreakBefore w:val="0"/>
        <w:widowControl w:val="0"/>
        <w:kinsoku/>
        <w:wordWrap w:val="0"/>
        <w:overflowPunct/>
        <w:topLinePunct w:val="0"/>
        <w:autoSpaceDE w:val="0"/>
        <w:autoSpaceDN w:val="0"/>
        <w:bidi w:val="0"/>
        <w:adjustRightInd/>
        <w:snapToGrid/>
        <w:spacing w:line="288" w:lineRule="auto"/>
        <w:ind w:left="0" w:firstLine="420" w:firstLineChars="200"/>
        <w:jc w:val="left"/>
        <w:textAlignment w:val="auto"/>
        <w:outlineLvl w:val="0"/>
        <w:rPr>
          <w:rFonts w:ascii="宋体" w:eastAsia="宋体" w:hAnsi="宋体" w:cs="宋体" w:hint="eastAsia"/>
          <w:b w:val="0"/>
          <w:bCs/>
          <w:sz w:val="21"/>
          <w:szCs w:val="21"/>
        </w:rPr>
      </w:pPr>
      <w:bookmarkStart w:id="10" w:name="heading_20"/>
      <w:r>
        <w:rPr>
          <w:rFonts w:ascii="宋体" w:eastAsia="宋体" w:hAnsi="宋体" w:cs="宋体" w:hint="eastAsia"/>
          <w:b w:val="0"/>
          <w:bCs/>
          <w:sz w:val="21"/>
          <w:szCs w:val="21"/>
        </w:rPr>
        <w:t>结语</w:t>
      </w:r>
      <w:bookmarkEnd w:id="10"/>
    </w:p>
    <w:p w14:paraId="2A9F4EDF">
      <w:pPr>
        <w:keepNext w:val="0"/>
        <w:keepLines w:val="0"/>
        <w:pageBreakBefore w:val="0"/>
        <w:widowControl w:val="0"/>
        <w:kinsoku/>
        <w:wordWrap w:val="0"/>
        <w:overflowPunct/>
        <w:topLinePunct w:val="0"/>
        <w:autoSpaceDE w:val="0"/>
        <w:autoSpaceDN w:val="0"/>
        <w:bidi w:val="0"/>
        <w:adjustRightInd/>
        <w:snapToGrid/>
        <w:spacing w:line="288" w:lineRule="auto"/>
        <w:ind w:left="0" w:firstLine="420" w:firstLineChars="200"/>
        <w:jc w:val="left"/>
        <w:textAlignment w:val="auto"/>
        <w:rPr>
          <w:rFonts w:ascii="宋体" w:eastAsia="宋体" w:hAnsi="宋体" w:cs="宋体" w:hint="eastAsia"/>
          <w:b w:val="0"/>
          <w:bCs/>
          <w:sz w:val="21"/>
          <w:szCs w:val="21"/>
        </w:rPr>
      </w:pPr>
      <w:r>
        <w:rPr>
          <w:rFonts w:ascii="宋体" w:eastAsia="宋体" w:hAnsi="宋体" w:cs="宋体" w:hint="eastAsia"/>
          <w:b w:val="0"/>
          <w:bCs/>
          <w:sz w:val="21"/>
          <w:szCs w:val="21"/>
        </w:rPr>
        <w:t>本文以多源感知融合技术为依托，创建高速公路机电设备故障量化评价模型，把物联网传感、边缘计算、AI 视频识别三种监测手段结合起来，搭建起轻量级数据融合管控平台，构建起完整的机电智能运维闭环体系，配套差异化的设备布设、标准化的数据处理、线上闭环处置的成套落地工艺，用 13km 绕城高速做量化工程验证。该体系可以对机电设备故障进行分级预警，全流程线上跟踪，减少故障处理时间，降低运维人员数量，从源头上解决了老旧机电兼容差、数据孤岛、传统运维效率低下的问题。之后可以采用数字孪生动态仿真技术对多源数据融合算法进行改进，从而构建起更完善的高速公路机电全生命周期智能运维技术体系。</w:t>
      </w:r>
    </w:p>
    <w:p w14:paraId="1D26966F">
      <w:pPr>
        <w:keepNext w:val="0"/>
        <w:keepLines w:val="0"/>
        <w:pageBreakBefore w:val="0"/>
        <w:widowControl w:val="0"/>
        <w:kinsoku/>
        <w:wordWrap/>
        <w:overflowPunct/>
        <w:topLinePunct w:val="0"/>
        <w:autoSpaceDE/>
        <w:autoSpaceDN/>
        <w:bidi w:val="0"/>
        <w:adjustRightInd/>
        <w:snapToGrid/>
        <w:spacing w:line="360" w:lineRule="auto"/>
        <w:ind w:left="0"/>
        <w:jc w:val="left"/>
        <w:textAlignment w:val="auto"/>
        <w:rPr>
          <w:rFonts w:ascii="宋体" w:eastAsia="宋体" w:hAnsi="宋体" w:cs="宋体" w:hint="default"/>
          <w:b w:val="0"/>
          <w:bCs/>
          <w:sz w:val="21"/>
          <w:szCs w:val="21"/>
          <w:lang w:val="en-US" w:eastAsia="zh-CN"/>
        </w:rPr>
      </w:pPr>
    </w:p>
    <w:sectPr>
      <w:headerReference w:type="default" r:id="rId4"/>
      <w:footerReference w:type="default" r:id="rId5"/>
      <w:pgSz w:w="11905" w:h="16840"/>
      <w:pgMar w:header="720" w:footer="720"/>
      <w:cols w:num="1"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altName w:val="汉仪书宋二KW"/>
    <w:panose1 w:val="00000000000000000000"/>
    <w:charset w:val="00"/>
    <w:family w:val="auto"/>
    <w:pitch w:val="default"/>
    <w:sig w:usb0="00000000" w:usb1="00000000" w:usb2="00000000" w:usb3="00000000" w:csb0="00000000" w:csb1="00000000"/>
  </w:font>
  <w:font w:name="Wingdings">
    <w:panose1 w:val="05000000000000000000"/>
    <w:charset w:val="02"/>
    <w:family w:val="auto"/>
    <w:pitch w:val="default"/>
    <w:sig w:usb0="00000000" w:usb1="00000000" w:usb2="00000000" w:usb3="00000000" w:csb0="80000000" w:csb1="00000000"/>
  </w:font>
  <w:font w:name="Arial">
    <w:panose1 w:val="020B0604020202090204"/>
    <w:charset w:val="01"/>
    <w:family w:val="swiss"/>
    <w:pitch w:val="default"/>
    <w:sig w:usb0="E0000AFF" w:usb1="00007843" w:usb2="00000001" w:usb3="00000000" w:csb0="400001BF" w:csb1="DFF70000"/>
  </w:font>
  <w:font w:name="黑体">
    <w:altName w:val="汉仪中黑KW"/>
    <w:panose1 w:val="02010609060101010101"/>
    <w:charset w:val="86"/>
    <w:family w:val="auto"/>
    <w:pitch w:val="default"/>
    <w:sig w:usb0="800002BF" w:usb1="38CF7CFA" w:usb2="00000016" w:usb3="00000000" w:csb0="00040001" w:csb1="00000000"/>
  </w:font>
  <w:font w:name="Courier New">
    <w:panose1 w:val="02070409020205090404"/>
    <w:charset w:val="01"/>
    <w:family w:val="modern"/>
    <w:pitch w:val="default"/>
    <w:sig w:usb0="E0000AFF" w:usb1="40007843" w:usb2="00000001" w:usb3="00000000" w:csb0="400001BF" w:csb1="DFF70000"/>
  </w:font>
  <w:font w:name="Symbol">
    <w:altName w:val="Kingsoft Sign"/>
    <w:panose1 w:val="05050102010706020507"/>
    <w:charset w:val="02"/>
    <w:family w:val="roman"/>
    <w:pitch w:val="default"/>
    <w:sig w:usb0="00000000" w:usb1="00000000" w:usb2="00000000" w:usb3="00000000" w:csb0="80000000" w:csb1="00000000"/>
  </w:font>
  <w:font w:name="Calibri">
    <w:altName w:val="Helvetica Neue"/>
    <w:panose1 w:val="020F0502020204030204"/>
    <w:charset w:val="00"/>
    <w:family w:val="swiss"/>
    <w:pitch w:val="default"/>
    <w:sig w:usb0="00000000" w:usb1="00000000" w:usb2="00000001" w:usb3="00000000" w:csb0="0000019F" w:csb1="00000000"/>
  </w:font>
  <w:font w:name="汉仪书宋二KW">
    <w:panose1 w:val="00020600040101010101"/>
    <w:charset w:val="86"/>
    <w:family w:val="auto"/>
    <w:pitch w:val="default"/>
    <w:sig w:usb0="A00002BF" w:usb1="18EF7CFA" w:usb2="00000016" w:usb3="00000000" w:csb0="00040000" w:csb1="00000000"/>
  </w:font>
  <w:font w:name="Helvetica Neue">
    <w:panose1 w:val="02000503000000020004"/>
    <w:charset w:val="00"/>
    <w:family w:val="auto"/>
    <w:pitch w:val="default"/>
    <w:sig w:usb0="E50002FF" w:usb1="500079DB" w:usb2="00000010" w:usb3="00000000" w:csb0="00000000" w:csb1="00000000"/>
  </w:font>
  <w:font w:name="DejaVu Math TeX Gyre">
    <w:panose1 w:val="02000503000000000000"/>
    <w:charset w:val="00"/>
    <w:family w:val="auto"/>
    <w:pitch w:val="default"/>
    <w:sig w:usb0="A10000EF" w:usb1="4201F9EE" w:usb2="02000000" w:usb3="00000000" w:csb0="60000193" w:csb1="0DD40000"/>
  </w:font>
  <w:font w:name="汉仪中黑KW">
    <w:panose1 w:val="00020600040101010101"/>
    <w:charset w:val="86"/>
    <w:family w:val="auto"/>
    <w:pitch w:val="default"/>
    <w:sig w:usb0="A00002BF" w:usb1="18EF7CFA" w:usb2="00000016" w:usb3="00000000" w:csb0="00040000" w:csb1="00000000"/>
  </w:font>
  <w:font w:name="Kingsoft Sign">
    <w:panose1 w:val="05050102010706020507"/>
    <w:charset w:val="00"/>
    <w:family w:val="auto"/>
    <w:pitch w:val="default"/>
    <w:sig w:usb0="00000000" w:usb1="1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14:paraId="2CCE5649"/>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14:paraId="4BC9241B"/>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BBDEF4B7"/>
    <w:multiLevelType w:val="singleLevel"/>
    <w:tmpl w:val="BBDEF4B7"/>
    <w:lvl w:ilvl="0">
      <w:start w:val="2"/>
      <w:numFmt w:val="decimal"/>
      <w:lvlText w:val="%1."/>
      <w:lvlJc w:val="left"/>
      <w:rPr>
        <w:color w:val="3370FF"/>
      </w:rPr>
    </w:lvl>
  </w:abstractNum>
  <w:abstractNum w:abstractNumId="1">
    <w:nsid w:val="BEF470AC"/>
    <w:multiLevelType w:val="singleLevel"/>
    <w:tmpl w:val="BEF470AC"/>
    <w:lvl w:ilvl="0">
      <w:start w:val="1"/>
      <w:numFmt w:val="decimal"/>
      <w:lvlText w:val="%1."/>
      <w:lvlJc w:val="left"/>
      <w:rPr>
        <w:color w:val="3370FF"/>
      </w:rPr>
    </w:lvl>
  </w:abstractNum>
  <w:abstractNum w:abstractNumId="2">
    <w:nsid w:val="FF7EA43A"/>
    <w:multiLevelType w:val="singleLevel"/>
    <w:tmpl w:val="FF7EA43A"/>
    <w:lvl w:ilvl="0">
      <w:start w:val="4"/>
      <w:numFmt w:val="decimal"/>
      <w:lvlText w:val="%1."/>
      <w:lvlJc w:val="left"/>
      <w:rPr>
        <w:color w:val="3370FF"/>
      </w:rPr>
    </w:lvl>
  </w:abstractNum>
  <w:abstractNum w:abstractNumId="3">
    <w:nsid w:val="5C3E5EB8"/>
    <w:multiLevelType w:val="singleLevel"/>
    <w:tmpl w:val="5C3E5EB8"/>
    <w:lvl w:ilvl="0">
      <w:start w:val="3"/>
      <w:numFmt w:val="decimal"/>
      <w:lvlText w:val="%1."/>
      <w:lvlJc w:val="left"/>
      <w:rPr>
        <w:color w:val="3370FF"/>
      </w:rPr>
    </w:lvl>
  </w:abstractNum>
  <w:num w:numId="1">
    <w:abstractNumId w:val="1"/>
  </w:num>
  <w:num w:numId="2">
    <w:abstractNumId w:val="0"/>
  </w:num>
  <w:num w:numId="3">
    <w:abstractNumId w:val="3"/>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80"/>
  <w:defaultTabStop w:val="720"/>
  <w:noPunctuationKerning/>
  <w:characterSpacingControl w:val="doNotCompress"/>
  <w:compat>
    <w:doNotExpandShiftReturn/>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00000"/>
    <w:rsid w:val="BC99E949"/>
    <w:rsid w:val="EBED704F"/>
    <w:rsid w:val="F7531B70"/>
    <w:rsid w:val="FDFBE8F4"/>
    <w:rsid w:val="38F74DC2"/>
    <w:rsid w:val="3FEF6C6C"/>
    <w:rsid w:val="6043AF17"/>
    <w:rsid w:val="6DEFC17D"/>
    <w:rsid w:val="7DB5BB95"/>
    <w:rsid w:val="7F7E14D7"/>
  </w:rsids>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宋体" w:hAnsi="Times New Roman" w:cs="Times New Roman"/>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sz w:val="21"/>
      <w:szCs w:val="22"/>
    </w:rPr>
  </w:style>
  <w:style w:type="character" w:default="1" w:styleId="DefaultParagraphFont">
    <w:name w:val="Default Paragraph Font"/>
    <w:semiHidden/>
  </w:style>
  <w:style w:type="table" w:default="1" w:styleId="TableNormal">
    <w:name w:val="Normal Table"/>
    <w:semiHidden/>
    <w:tblPr>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header" Target="header1.xml" /><Relationship Id="rId5" Type="http://schemas.openxmlformats.org/officeDocument/2006/relationships/footer" Target="footer1.xml" /><Relationship Id="rId6" Type="http://schemas.openxmlformats.org/officeDocument/2006/relationships/theme" Target="theme/theme1.xml" /><Relationship Id="rId7" Type="http://schemas.openxmlformats.org/officeDocument/2006/relationships/numbering" Target="numbering.xml" /><Relationship Id="rId8" Type="http://schemas.openxmlformats.org/officeDocument/2006/relationships/styles" Target="styles.xml" /></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otalTime>0</TotalTime>
  <Pages>2</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Apache POI</dc:creator>
  <cp:lastModifiedBy>微信用户</cp:lastModifiedBy>
  <cp:revision>0</cp:revision>
  <dcterms:created xsi:type="dcterms:W3CDTF">2026-06-29T17:55:00Z</dcterms:created>
  <dcterms:modified xsi:type="dcterms:W3CDTF">2026-07-01T21:26:40Z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IGC">
    <vt:lpwstr>{"Label":"1","ContentProducer":"001191110102MACQD9K64010000","ProduceID":"7656011744445352909","ReservedCode1":"","ContentPropagator":"","PropagateID":"","ReservedCode2":""}</vt:lpwstr>
  </property>
  <property fmtid="{D5CDD505-2E9C-101B-9397-08002B2CF9AE}" pid="3" name="ICV">
    <vt:lpwstr>28029B8255284391499F3F6A30F1B56A_42</vt:lpwstr>
  </property>
  <property fmtid="{D5CDD505-2E9C-101B-9397-08002B2CF9AE}" pid="4" name="KSOProductBuildVer">
    <vt:lpwstr>2052-12.1.25869.25869</vt:lpwstr>
  </property>
</Properties>
</file>