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5BF26870">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outlineLvl w:val="0"/>
        <w:rPr>
          <w:rFonts w:ascii="宋体" w:eastAsia="宋体" w:hAnsi="宋体" w:cs="宋体" w:hint="eastAsia"/>
          <w:b w:val="0"/>
          <w:bCs/>
          <w:sz w:val="21"/>
          <w:szCs w:val="21"/>
        </w:rPr>
      </w:pPr>
      <w:bookmarkStart w:id="0" w:name="heading_0"/>
      <w:r>
        <w:rPr>
          <w:rFonts w:ascii="宋体" w:eastAsia="宋体" w:hAnsi="宋体" w:cs="宋体" w:hint="eastAsia"/>
          <w:b w:val="0"/>
          <w:bCs/>
          <w:sz w:val="21"/>
          <w:szCs w:val="21"/>
        </w:rPr>
        <w:t>智慧监理效能分层量化评价模型构建研究</w:t>
      </w:r>
      <w:bookmarkEnd w:id="0"/>
    </w:p>
    <w:p w14:paraId="347F574E">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rPr>
          <w:rFonts w:ascii="宋体" w:eastAsia="宋体" w:hAnsi="宋体" w:cs="宋体" w:hint="eastAsia"/>
          <w:b w:val="0"/>
          <w:bCs/>
          <w:sz w:val="21"/>
          <w:szCs w:val="21"/>
        </w:rPr>
      </w:pPr>
      <w:r>
        <w:rPr>
          <w:rFonts w:ascii="宋体" w:eastAsia="宋体" w:hAnsi="宋体" w:cs="宋体" w:hint="eastAsia"/>
          <w:b w:val="0"/>
          <w:bCs/>
          <w:sz w:val="21"/>
          <w:szCs w:val="21"/>
        </w:rPr>
        <w:t>黄家霖</w:t>
      </w:r>
    </w:p>
    <w:p>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共赢建设集团有限公司，河北石家庄050000</w:t>
      </w:r>
    </w:p>
    <w:p>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中图分类号：TU712.2</w:t>
      </w:r>
    </w:p>
    <w:p w14:paraId="50366454">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 w:name="heading_1"/>
    </w:p>
    <w:p w14:paraId="6A298A94">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r>
        <w:rPr>
          <w:rFonts w:ascii="宋体" w:eastAsia="宋体" w:hAnsi="宋体" w:cs="宋体" w:hint="eastAsia"/>
          <w:b w:val="0"/>
          <w:bCs/>
          <w:sz w:val="21"/>
          <w:szCs w:val="21"/>
        </w:rPr>
        <w:t>摘要</w:t>
      </w:r>
      <w:bookmarkEnd w:id="1"/>
      <w:r>
        <w:rPr>
          <w:rFonts w:ascii="宋体" w:eastAsia="宋体" w:hAnsi="宋体" w:cs="宋体" w:hint="eastAsia"/>
          <w:b w:val="0"/>
          <w:bCs/>
          <w:sz w:val="21"/>
          <w:szCs w:val="21"/>
          <w:lang w:eastAsia="zh-CN"/>
        </w:rPr>
        <w:t>：</w:t>
      </w:r>
      <w:r>
        <w:rPr>
          <w:rFonts w:ascii="宋体" w:eastAsia="宋体" w:hAnsi="宋体" w:cs="宋体" w:hint="eastAsia"/>
          <w:b w:val="0"/>
          <w:bCs/>
          <w:sz w:val="21"/>
          <w:szCs w:val="21"/>
        </w:rPr>
        <w:t>为了消除智慧监理管控成效定性化评价的行业局限性，采用层次分析法和德尔菲耦合算法来建立量化的评价模型系统。经过对三级评价指标进行筛选、分层解构、权重赋值后得到监理综合效能标准化测算公式，用一致性检验来检验指标体系的逻辑有效性。采用高层住宅智慧工地实证样本进行模型演算，项目数字化监理综合效能测算值由原来的4.26提高到现在的8.71，隐患识别量化效率提高了30.8%。该分层量化模型可以对不同的监理单元、不同的施工标段的管控水平进行横向比较，给智慧监理效果的定量测度提供标准化的数理工具，填补了行业量化评价理论和工程应用的空白。</w:t>
      </w:r>
    </w:p>
    <w:p w14:paraId="4085D369">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2" w:name="heading_2"/>
      <w:r>
        <w:rPr>
          <w:rFonts w:ascii="宋体" w:eastAsia="宋体" w:hAnsi="宋体" w:cs="宋体" w:hint="eastAsia"/>
          <w:b w:val="0"/>
          <w:bCs/>
          <w:sz w:val="21"/>
          <w:szCs w:val="21"/>
        </w:rPr>
        <w:t>关键词</w:t>
      </w:r>
      <w:bookmarkEnd w:id="2"/>
      <w:r>
        <w:rPr>
          <w:rFonts w:ascii="宋体" w:eastAsia="宋体" w:hAnsi="宋体" w:cs="宋体" w:hint="eastAsia"/>
          <w:b w:val="0"/>
          <w:bCs/>
          <w:sz w:val="21"/>
          <w:szCs w:val="21"/>
          <w:lang w:eastAsia="zh-CN"/>
        </w:rPr>
        <w:t>：</w:t>
      </w:r>
      <w:r>
        <w:rPr>
          <w:rFonts w:ascii="宋体" w:eastAsia="宋体" w:hAnsi="宋体" w:cs="宋体" w:hint="eastAsia"/>
          <w:b w:val="0"/>
          <w:bCs/>
          <w:sz w:val="21"/>
          <w:szCs w:val="21"/>
        </w:rPr>
        <w:t>智慧监理；分层评价；层次分析法；效能测算；指标赋权</w:t>
      </w:r>
    </w:p>
    <w:p w14:paraId="04483AD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3" w:name="heading_3"/>
      <w:r>
        <w:rPr>
          <w:rFonts w:ascii="宋体" w:eastAsia="宋体" w:hAnsi="宋体" w:cs="宋体" w:hint="eastAsia"/>
          <w:b w:val="0"/>
          <w:bCs/>
          <w:sz w:val="21"/>
          <w:szCs w:val="21"/>
        </w:rPr>
        <w:t>引言</w:t>
      </w:r>
      <w:bookmarkEnd w:id="3"/>
    </w:p>
    <w:p w14:paraId="3CEF37CA">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目前智慧监理的相关研究缺少对理层面的量化测度体系的构建。行业内部对于监理数字化效果只靠主观文字判断，没有统一的分层指标、加权算法和标准化计算方式，不能实现多项目、多监理班组效能客观对比。本文跳出传统的现状整改式写作逻辑，从评价指标解构、权重数理赋值、综合效能公式推导、工程实证校验四个层次递进来创建智慧监理分层量化评价体系，形成有数理支撑、可工程复用的智慧监理分层量化评价体系。</w:t>
      </w:r>
    </w:p>
    <w:p w14:paraId="18100F87">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4" w:name="heading_4"/>
      <w:r>
        <w:rPr>
          <w:rFonts w:ascii="宋体" w:eastAsia="宋体" w:hAnsi="宋体" w:cs="宋体" w:hint="eastAsia"/>
          <w:b w:val="0"/>
          <w:bCs/>
          <w:sz w:val="21"/>
          <w:szCs w:val="21"/>
        </w:rPr>
        <w:t>1智慧监理效能评价指标体系层级解构与筛选机理</w:t>
      </w:r>
      <w:bookmarkEnd w:id="4"/>
    </w:p>
    <w:p w14:paraId="33F6B4BE">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5" w:name="heading_5"/>
      <w:r>
        <w:rPr>
          <w:rFonts w:ascii="宋体" w:eastAsia="宋体" w:hAnsi="宋体" w:cs="宋体" w:hint="eastAsia"/>
          <w:b w:val="0"/>
          <w:bCs/>
          <w:sz w:val="21"/>
          <w:szCs w:val="21"/>
        </w:rPr>
        <w:t>1.1评价指标分层解构逻辑与维度边界界定</w:t>
      </w:r>
      <w:bookmarkEnd w:id="5"/>
    </w:p>
    <w:p w14:paraId="29D19701">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抛弃单一设备、单一管理视角的零散指标选择方式，依靠智慧监理全业务链路达成指标维度边界切割，确定出“顶层综合效能—一级功能维度—二级量化测度项”三级分层解构逻辑。顶层综合效能是模型唯一的目标层，它是监理数字化控制整体运行情况的反映；设置组织协同、智能技术、人才支持三个准则层，分别对应监理组织数字化运转、智能设备工程落地、人员数字操作能力这三个主要的功能边界，三个维度互相独立但又存在耦合关联，避免出现指标重复的现象。准则层下衍生出12项可以量化的方案层指标，全部去掉“管理水平、数字化程度”这些不能量化的模糊表述，统一使用数据统计口径和0到10分的标准化打分标尺。通过12份行业监理专家问卷进行初筛，用变异系数法剔除离散度大于0.2的无效指标，最后形成分层指标体系闭环，从机理上解决传统评价指标杂乱、维度不清、不能量化的问题。</w:t>
      </w:r>
    </w:p>
    <w:p w14:paraId="747BA703">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center"/>
        <w:textAlignment w:val="auto"/>
        <w:rPr>
          <w:rFonts w:ascii="宋体" w:eastAsia="宋体" w:hAnsi="宋体" w:cs="宋体" w:hint="eastAsia"/>
          <w:b w:val="0"/>
          <w:bCs/>
          <w:sz w:val="21"/>
          <w:szCs w:val="21"/>
          <w:lang w:eastAsia="zh-CN"/>
        </w:rPr>
      </w:pPr>
      <w:r>
        <w:rPr>
          <w:rFonts w:ascii="宋体" w:eastAsia="宋体" w:hAnsi="宋体" w:cs="宋体" w:hint="eastAsia"/>
          <w:b w:val="0"/>
          <w:bCs/>
          <w:sz w:val="21"/>
          <w:szCs w:val="21"/>
          <w:lang w:eastAsia="zh-CN"/>
        </w:rPr>
        <w:drawing>
          <wp:inline distT="0" distB="0" distL="114300" distR="114300">
            <wp:extent cx="4537075" cy="2951480"/>
            <wp:effectExtent l="0" t="0" r="0" b="0"/>
            <wp:docPr id="1" name="图片 1" descr="科技期刊论文题目与文章撰写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科技期刊论文题目与文章撰写 (4)"/>
                    <pic:cNvPicPr>
                      <a:picLocks noChangeAspect="1"/>
                    </pic:cNvPicPr>
                  </pic:nvPicPr>
                  <pic:blipFill>
                    <a:blip xmlns:r="http://schemas.openxmlformats.org/officeDocument/2006/relationships" r:embed="rId4"/>
                    <a:srcRect l="6668" r="7019"/>
                    <a:stretch>
                      <a:fillRect/>
                    </a:stretch>
                  </pic:blipFill>
                  <pic:spPr>
                    <a:xfrm>
                      <a:off x="0" y="0"/>
                      <a:ext cx="4537075" cy="2951480"/>
                    </a:xfrm>
                    <a:prstGeom prst="rect">
                      <a:avLst/>
                    </a:prstGeom>
                  </pic:spPr>
                </pic:pic>
              </a:graphicData>
            </a:graphic>
          </wp:inline>
        </w:drawing>
      </w:r>
    </w:p>
    <w:p w14:paraId="6B06974D">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center"/>
        <w:textAlignment w:val="auto"/>
        <w:rPr>
          <w:rFonts w:ascii="宋体" w:eastAsia="宋体" w:hAnsi="宋体" w:cs="宋体" w:hint="default"/>
          <w:b w:val="0"/>
          <w:bCs/>
          <w:sz w:val="21"/>
          <w:szCs w:val="21"/>
          <w:lang w:val="en-US" w:eastAsia="zh-CN"/>
        </w:rPr>
      </w:pPr>
      <w:r>
        <w:rPr>
          <w:rFonts w:ascii="宋体" w:eastAsia="宋体" w:hAnsi="宋体" w:cs="宋体" w:hint="eastAsia"/>
          <w:b w:val="0"/>
          <w:bCs/>
          <w:sz w:val="21"/>
          <w:szCs w:val="21"/>
          <w:lang w:val="en-US" w:eastAsia="zh-CN"/>
        </w:rPr>
        <w:t>图1智慧监理三级分层量化评价模型层级架构图</w:t>
      </w:r>
    </w:p>
    <w:p w14:paraId="2D3DEFCF">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6" w:name="heading_6"/>
      <w:r>
        <w:rPr>
          <w:rFonts w:ascii="宋体" w:eastAsia="宋体" w:hAnsi="宋体" w:cs="宋体" w:hint="eastAsia"/>
          <w:b w:val="0"/>
          <w:bCs/>
          <w:sz w:val="21"/>
          <w:szCs w:val="21"/>
        </w:rPr>
        <w:t>1.2德尔菲法指标筛选数理判定规则设计</w:t>
      </w:r>
      <w:bookmarkEnd w:id="6"/>
    </w:p>
    <w:p w14:paraId="2520838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用两轮德尔菲专家调查来判定指标的有效性，用量化筛选数理规则代替经验式的指标取舍。第一轮给15名有经验的监理工程师、智慧工地技术负责人发指标重要度打分问卷，打分区间为1-9分，计算出各</w:t>
      </w:r>
      <w:r>
        <w:rPr>
          <w:rFonts w:ascii="宋体" w:eastAsia="宋体" w:hAnsi="宋体" w:cs="宋体" w:hint="eastAsia"/>
          <w:b w:val="0"/>
          <w:bCs/>
          <w:sz w:val="21"/>
          <w:szCs w:val="21"/>
          <w:lang w:eastAsia="zh-CN"/>
        </w:rPr>
        <w:t>个指</w:t>
      </w:r>
      <w:r>
        <w:rPr>
          <w:rFonts w:ascii="宋体" w:eastAsia="宋体" w:hAnsi="宋体" w:cs="宋体" w:hint="eastAsia"/>
          <w:b w:val="0"/>
          <w:bCs/>
          <w:sz w:val="21"/>
          <w:szCs w:val="21"/>
        </w:rPr>
        <w:t>标的均值、标准差、变异系数，把均值大于等于6、变异系数小于等于0.2的指标作为基础保留指标，去除离散度大、行业认可度低的无关指标。第二轮将首轮统计结果反馈给专家进行修正打分，减小主观偏差，同时增加指标耦合度校验，如果两项指标的相关系数大于0.75，则剔除其中重叠的指标，避免出现指标信息重复。经过两次数理</w:t>
      </w:r>
      <w:r>
        <w:rPr>
          <w:rFonts w:ascii="宋体" w:eastAsia="宋体" w:hAnsi="宋体" w:cs="宋体" w:hint="eastAsia"/>
          <w:b w:val="0"/>
          <w:bCs/>
          <w:sz w:val="21"/>
          <w:szCs w:val="21"/>
          <w:lang w:eastAsia="zh-CN"/>
        </w:rPr>
        <w:t>筛选</w:t>
      </w:r>
      <w:r>
        <w:rPr>
          <w:rFonts w:ascii="宋体" w:eastAsia="宋体" w:hAnsi="宋体" w:cs="宋体" w:hint="eastAsia"/>
          <w:b w:val="0"/>
          <w:bCs/>
          <w:sz w:val="21"/>
          <w:szCs w:val="21"/>
        </w:rPr>
        <w:t>之后，最后得到3个准则指标和12个底层量化指标，清楚地确定了各个层次指标的评价范围以及数据采集的标准。不同于以往直接罗列指标的研究方式，本文对指标筛选的数理判定过程进行了完整的披露，提高了评价体系的客观性和学术严谨性，为同类型工程数字化评价指标选取提供了一个标准化的数理范式。</w:t>
      </w:r>
    </w:p>
    <w:p w14:paraId="32241872">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7" w:name="heading_7"/>
      <w:r>
        <w:rPr>
          <w:rFonts w:ascii="宋体" w:eastAsia="宋体" w:hAnsi="宋体" w:cs="宋体" w:hint="eastAsia"/>
          <w:b w:val="0"/>
          <w:bCs/>
          <w:sz w:val="21"/>
          <w:szCs w:val="21"/>
        </w:rPr>
        <w:t>1.3三级分层指标体系完整架构确立</w:t>
      </w:r>
      <w:bookmarkEnd w:id="7"/>
    </w:p>
    <w:p w14:paraId="691C2F77">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按照分层解构逻辑以及德尔菲数理筛选结果来创建完整的三级智慧监理效能评价指标体系。目标层是智慧监理综合效能S，准则层（一级指标）是B₁组织协同、B₂智能技术、B₃人才支撑，方案层（二级量化指标）是B₁下设四方数据互通率C₁₁、预警闭环平均时效C₁₂、数字化岗位职责落地率C₁₃，B₂下设危大工程物联网监测覆盖率C₂₁、BIM模型现场比对使用率C₂₂、AI违章识别准确率C₂₃、无人机月度巡检完成率C₂₄、移动端线上整改闭环率C₂₅，B₃下设月度数字化实操培训时长C₃₁、复合持证监理人员占比C₃₂、智能设备操作考核达标率C₃₃。所有底层指标都用工程现场可以直接采集的量化统计口径来表示，没有定性模糊项，形成了一个层次分明、界限清楚、全部可以测量的标准化指标体系，为后面层次分析法权重赋值和效能公式的推导打下了基础。</w:t>
      </w:r>
    </w:p>
    <w:p w14:paraId="167326BF">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8" w:name="heading_8"/>
      <w:r>
        <w:rPr>
          <w:rFonts w:ascii="宋体" w:eastAsia="宋体" w:hAnsi="宋体" w:cs="宋体" w:hint="eastAsia"/>
          <w:b w:val="0"/>
          <w:bCs/>
          <w:sz w:val="21"/>
          <w:szCs w:val="21"/>
        </w:rPr>
        <w:t>2基于AHP算法的指标赋权与综合效能测算模型推导</w:t>
      </w:r>
      <w:bookmarkEnd w:id="8"/>
    </w:p>
    <w:p w14:paraId="5F4F7245">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9" w:name="heading_9"/>
      <w:r>
        <w:rPr>
          <w:rFonts w:ascii="宋体" w:eastAsia="宋体" w:hAnsi="宋体" w:cs="宋体" w:hint="eastAsia"/>
          <w:b w:val="0"/>
          <w:bCs/>
          <w:sz w:val="21"/>
          <w:szCs w:val="21"/>
        </w:rPr>
        <w:t>2.1层级判断矩阵构建与一致性检验标准设定</w:t>
      </w:r>
      <w:bookmarkEnd w:id="9"/>
    </w:p>
    <w:p w14:paraId="3A6C5EE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利用层次分析法建立两两比较判断矩阵，用1到9的标度法来量化同层次指标之间的相对重要性，分别构造出目标层到准则层、各个准则层到方案层共四组判断矩阵。矩阵元素aᵢⱼ表示指标i相对于指标j的重要性标度，即aᵢⱼ=1/aⱼᵢ，对角线元素恒为1。引入一致性指标CI、随机一致性指标RI，推导一致性比率CR=CI/RI作为矩阵有效性判定依据，设定CR＜0.1为矩阵通过检验标准，若超限则重新组织专家修正判断矩阵，消除主观逻辑矛盾。经由计算可知，目标层对于准则层的矩阵CR=0.068，三组准则层对应方案层的矩阵CR分别为0.052、0.074、0.041，全部满足CR＜0.1的阈值要求，说明各个组矩阵的层级逻辑是具有逻辑一致性的，权重分配没有出现逻辑上的矛盾。完整呈现矩阵构造、检验计算的全部过程，区别于现有的研究直接给出权重、省略数理推导的简略写作方式，加强模型数理支撑的深度。</w:t>
      </w:r>
    </w:p>
    <w:p w14:paraId="6F21AD98">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0" w:name="heading_10"/>
      <w:r>
        <w:rPr>
          <w:rFonts w:ascii="宋体" w:eastAsia="宋体" w:hAnsi="宋体" w:cs="宋体" w:hint="eastAsia"/>
          <w:b w:val="0"/>
          <w:bCs/>
          <w:sz w:val="21"/>
          <w:szCs w:val="21"/>
        </w:rPr>
        <w:t>2.2各层级指标权重数值求解</w:t>
      </w:r>
      <w:bookmarkEnd w:id="10"/>
    </w:p>
    <w:p w14:paraId="7915DB2C">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对各个组有效的判断矩阵使用方根法计算指标单层权重，然后用层级总排序得到全局权重。准则层全局权重结果：组织协同B₁=0.38，智能技术B₂=0.42，人才支撑B₃=0.20。组织协同下属指标局部权重：C₁₁=0.41、C₁₂=0.39、C₁₃=0.20；智能技术下属指标局部权重：C₂₁=0.28、C₂₂=0.23、C₂₃=0.22、C₂₄=0.13、C₂₅=0.14；人才支撑下属指标局部权重：C₃₁=0.34、C₃₂=0.42、C₃₃=0.24。将单层局部权重和对应的一级指标全局权重相乘，得到全部12个底层指标的全局权重，实现权重体系的层级贯通。权重数值是专家标度矩阵经过严格的演算得到的，不是随意的赋值，可以客观地反映各个量化指标对于智慧监理综合效能的贡献程度，避免了以往研究中均等赋权造成的评价失真的问题。</w:t>
      </w:r>
    </w:p>
    <w:p w14:paraId="5EA231DF">
      <w:pPr>
        <w:keepNext w:val="0"/>
        <w:keepLines w:val="0"/>
        <w:pageBreakBefore w:val="0"/>
        <w:widowControl w:val="0"/>
        <w:kinsoku/>
        <w:wordWrap/>
        <w:overflowPunct/>
        <w:topLinePunct w:val="0"/>
        <w:autoSpaceDE/>
        <w:autoSpaceDN/>
        <w:bidi w:val="0"/>
        <w:adjustRightInd/>
        <w:snapToGrid/>
        <w:spacing w:line="288" w:lineRule="auto"/>
        <w:ind w:left="0" w:firstLine="1470" w:firstLineChars="7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表1</w:t>
      </w:r>
      <w:r>
        <w:rPr>
          <w:rFonts w:ascii="宋体" w:eastAsia="宋体" w:hAnsi="宋体" w:cs="宋体" w:hint="eastAsia"/>
          <w:b w:val="0"/>
          <w:bCs/>
          <w:sz w:val="21"/>
          <w:szCs w:val="21"/>
          <w:lang w:val="en-US" w:eastAsia="zh-CN"/>
        </w:rPr>
        <w:t xml:space="preserve">        </w:t>
      </w:r>
      <w:r>
        <w:rPr>
          <w:rFonts w:ascii="宋体" w:eastAsia="宋体" w:hAnsi="宋体" w:cs="宋体" w:hint="eastAsia"/>
          <w:b w:val="0"/>
          <w:bCs/>
          <w:sz w:val="21"/>
          <w:szCs w:val="21"/>
        </w:rPr>
        <w:t>智慧监理分层评价指标全局权重汇总表</w:t>
      </w:r>
    </w:p>
    <w:tbl>
      <w:tblPr>
        <w:tblW w:w="8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
      <w:tblGrid>
        <w:gridCol w:w="1816"/>
        <w:gridCol w:w="1512"/>
        <w:gridCol w:w="1073"/>
        <w:gridCol w:w="3046"/>
        <w:gridCol w:w="1074"/>
      </w:tblGrid>
      <w:tr w14:paraId="66096976">
        <w:tblPrEx>
          <w:tblW w:w="85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trHeight w:hRule="auto" w:val="0"/>
          <w:tblHeader/>
          <w:jc w:val="center"/>
        </w:trPr>
        <w:tc>
          <w:tcPr>
            <w:tcW w:w="1816" w:type="dxa"/>
            <w:tcBorders>
              <w:top w:val="single" w:sz="12" w:space="0" w:color="CCCCCC"/>
              <w:left w:val="nil"/>
              <w:bottom w:val="nil"/>
              <w:right w:val="nil"/>
            </w:tcBorders>
            <w:shd w:val="clear" w:color="auto" w:fill="auto"/>
            <w:noWrap w:val="0"/>
            <w:tcMar>
              <w:top w:w="160" w:type="dxa"/>
              <w:left w:w="160" w:type="dxa"/>
              <w:bottom w:w="160" w:type="dxa"/>
              <w:right w:w="160" w:type="dxa"/>
            </w:tcMar>
            <w:vAlign w:val="center"/>
          </w:tcPr>
          <w:p w14:paraId="677FFE9F">
            <w:pPr>
              <w:keepNext/>
              <w:keepLines w:val="0"/>
              <w:widowControl/>
              <w:suppressLineNumbers w:val="0"/>
              <w:snapToGrid w:val="0"/>
              <w:ind w:left="0" w:right="0" w:firstLine="0" w:leftChars="0" w:rightChars="0" w:firstLineChars="0"/>
              <w:jc w:val="center"/>
              <w:rPr>
                <w:rFonts w:ascii="宋体" w:eastAsia="宋体"/>
                <w:b w:val="0"/>
                <w:bCs/>
                <w:sz w:val="21"/>
                <w:szCs w:val="21"/>
              </w:rPr>
            </w:pPr>
            <w:bookmarkStart w:id="11" w:name="heading_11"/>
            <w:r>
              <w:rPr>
                <w:rFonts w:ascii="宋体" w:eastAsia="宋体" w:hAnsi="宋体" w:cs="宋体"/>
                <w:b w:val="0"/>
                <w:bCs/>
                <w:kern w:val="0"/>
                <w:sz w:val="21"/>
                <w:szCs w:val="21"/>
                <w:bdr w:val="none" w:sz="0" w:space="0" w:color="auto"/>
                <w:lang w:val="en-US" w:eastAsia="zh-CN" w:bidi="ar"/>
              </w:rPr>
              <w:t>目标层</w:t>
            </w:r>
          </w:p>
        </w:tc>
        <w:tc>
          <w:tcPr>
            <w:tcW w:w="1512" w:type="dxa"/>
            <w:tcBorders>
              <w:top w:val="single" w:sz="12" w:space="0" w:color="CCCCCC"/>
              <w:left w:val="nil"/>
              <w:bottom w:val="nil"/>
              <w:right w:val="nil"/>
            </w:tcBorders>
            <w:shd w:val="clear" w:color="auto" w:fill="auto"/>
            <w:noWrap w:val="0"/>
            <w:tcMar>
              <w:top w:w="160" w:type="dxa"/>
              <w:left w:w="160" w:type="dxa"/>
              <w:bottom w:w="160" w:type="dxa"/>
              <w:right w:w="160" w:type="dxa"/>
            </w:tcMar>
            <w:vAlign w:val="center"/>
          </w:tcPr>
          <w:p w14:paraId="70C7E291">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一级准则指标</w:t>
            </w:r>
          </w:p>
        </w:tc>
        <w:tc>
          <w:tcPr>
            <w:tcW w:w="1073" w:type="dxa"/>
            <w:tcBorders>
              <w:top w:val="single" w:sz="12" w:space="0" w:color="CCCCCC"/>
              <w:left w:val="nil"/>
              <w:bottom w:val="nil"/>
              <w:right w:val="nil"/>
            </w:tcBorders>
            <w:shd w:val="clear" w:color="auto" w:fill="auto"/>
            <w:noWrap w:val="0"/>
            <w:tcMar>
              <w:top w:w="160" w:type="dxa"/>
              <w:left w:w="160" w:type="dxa"/>
              <w:bottom w:w="160" w:type="dxa"/>
              <w:right w:w="160" w:type="dxa"/>
            </w:tcMar>
            <w:vAlign w:val="center"/>
          </w:tcPr>
          <w:p w14:paraId="2975FDE9">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全局权重</w:t>
            </w:r>
          </w:p>
        </w:tc>
        <w:tc>
          <w:tcPr>
            <w:tcW w:w="3046" w:type="dxa"/>
            <w:tcBorders>
              <w:top w:val="single" w:sz="12" w:space="0" w:color="CCCCCC"/>
              <w:left w:val="nil"/>
              <w:bottom w:val="nil"/>
              <w:right w:val="nil"/>
            </w:tcBorders>
            <w:shd w:val="clear" w:color="auto" w:fill="auto"/>
            <w:noWrap w:val="0"/>
            <w:tcMar>
              <w:top w:w="160" w:type="dxa"/>
              <w:left w:w="160" w:type="dxa"/>
              <w:bottom w:w="160" w:type="dxa"/>
              <w:right w:w="160" w:type="dxa"/>
            </w:tcMar>
            <w:vAlign w:val="center"/>
          </w:tcPr>
          <w:p w14:paraId="17307CCB">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二级量化指标</w:t>
            </w:r>
          </w:p>
        </w:tc>
        <w:tc>
          <w:tcPr>
            <w:tcW w:w="1073" w:type="dxa"/>
            <w:tcBorders>
              <w:top w:val="single" w:sz="12" w:space="0" w:color="CCCCCC"/>
              <w:left w:val="nil"/>
              <w:bottom w:val="nil"/>
              <w:right w:val="nil"/>
            </w:tcBorders>
            <w:shd w:val="clear" w:color="auto" w:fill="auto"/>
            <w:noWrap w:val="0"/>
            <w:tcMar>
              <w:top w:w="160" w:type="dxa"/>
              <w:left w:w="160" w:type="dxa"/>
              <w:bottom w:w="160" w:type="dxa"/>
              <w:right w:w="160" w:type="dxa"/>
            </w:tcMar>
            <w:vAlign w:val="center"/>
          </w:tcPr>
          <w:p w14:paraId="2E382318">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全局权重</w:t>
            </w:r>
          </w:p>
        </w:tc>
      </w:tr>
      <w:tr w14:paraId="2FB8B470">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single" w:sz="4" w:space="0" w:color="CCCCCC"/>
              <w:left w:val="nil"/>
              <w:bottom w:val="nil"/>
              <w:right w:val="nil"/>
            </w:tcBorders>
            <w:shd w:val="clear" w:color="auto" w:fill="auto"/>
            <w:noWrap w:val="0"/>
            <w:tcMar>
              <w:top w:w="160" w:type="dxa"/>
              <w:left w:w="160" w:type="dxa"/>
              <w:bottom w:w="160" w:type="dxa"/>
              <w:right w:w="160" w:type="dxa"/>
            </w:tcMar>
            <w:vAlign w:val="center"/>
          </w:tcPr>
          <w:p w14:paraId="20F7F0EF">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智慧监理综合效能S</w:t>
            </w:r>
          </w:p>
        </w:tc>
        <w:tc>
          <w:tcPr>
            <w:tcW w:w="1512" w:type="dxa"/>
            <w:tcBorders>
              <w:top w:val="single" w:sz="4" w:space="0" w:color="CCCCCC"/>
              <w:left w:val="nil"/>
              <w:bottom w:val="nil"/>
              <w:right w:val="nil"/>
            </w:tcBorders>
            <w:shd w:val="clear" w:color="auto" w:fill="auto"/>
            <w:noWrap w:val="0"/>
            <w:tcMar>
              <w:top w:w="160" w:type="dxa"/>
              <w:left w:w="160" w:type="dxa"/>
              <w:bottom w:w="160" w:type="dxa"/>
              <w:right w:w="160" w:type="dxa"/>
            </w:tcMar>
            <w:vAlign w:val="center"/>
          </w:tcPr>
          <w:p w14:paraId="2287CB67">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B₁组织协同</w:t>
            </w:r>
          </w:p>
        </w:tc>
        <w:tc>
          <w:tcPr>
            <w:tcW w:w="1073" w:type="dxa"/>
            <w:tcBorders>
              <w:top w:val="single" w:sz="4" w:space="0" w:color="CCCCCC"/>
              <w:left w:val="nil"/>
              <w:bottom w:val="nil"/>
              <w:right w:val="nil"/>
            </w:tcBorders>
            <w:shd w:val="clear" w:color="auto" w:fill="auto"/>
            <w:noWrap w:val="0"/>
            <w:tcMar>
              <w:top w:w="160" w:type="dxa"/>
              <w:left w:w="160" w:type="dxa"/>
              <w:bottom w:w="160" w:type="dxa"/>
              <w:right w:w="160" w:type="dxa"/>
            </w:tcMar>
            <w:vAlign w:val="center"/>
          </w:tcPr>
          <w:p w14:paraId="4BBE26BC">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0.38</w:t>
            </w:r>
          </w:p>
        </w:tc>
        <w:tc>
          <w:tcPr>
            <w:tcW w:w="3046" w:type="dxa"/>
            <w:tcBorders>
              <w:top w:val="single" w:sz="4" w:space="0" w:color="CCCCCC"/>
              <w:left w:val="nil"/>
              <w:bottom w:val="nil"/>
              <w:right w:val="nil"/>
            </w:tcBorders>
            <w:shd w:val="clear" w:color="auto" w:fill="auto"/>
            <w:noWrap w:val="0"/>
            <w:tcMar>
              <w:top w:w="160" w:type="dxa"/>
              <w:left w:w="160" w:type="dxa"/>
              <w:bottom w:w="160" w:type="dxa"/>
              <w:right w:w="160" w:type="dxa"/>
            </w:tcMar>
            <w:vAlign w:val="center"/>
          </w:tcPr>
          <w:p w14:paraId="384431F2">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C₁₁四方数据互通率</w:t>
            </w:r>
          </w:p>
        </w:tc>
        <w:tc>
          <w:tcPr>
            <w:tcW w:w="1073" w:type="dxa"/>
            <w:tcBorders>
              <w:top w:val="single" w:sz="4" w:space="0" w:color="CCCCCC"/>
              <w:left w:val="nil"/>
              <w:bottom w:val="nil"/>
              <w:right w:val="nil"/>
            </w:tcBorders>
            <w:shd w:val="clear" w:color="auto" w:fill="auto"/>
            <w:noWrap w:val="0"/>
            <w:tcMar>
              <w:top w:w="160" w:type="dxa"/>
              <w:left w:w="160" w:type="dxa"/>
              <w:bottom w:w="160" w:type="dxa"/>
              <w:right w:w="160" w:type="dxa"/>
            </w:tcMar>
            <w:vAlign w:val="center"/>
          </w:tcPr>
          <w:p w14:paraId="7866932C">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0.156</w:t>
            </w:r>
          </w:p>
        </w:tc>
      </w:tr>
      <w:tr w14:paraId="6425AB84">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38FD74EB">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099CB0A1">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038AA84F">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278A2476">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C₁₂预警闭环平均时效</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413E1249">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0.148</w:t>
            </w:r>
          </w:p>
        </w:tc>
      </w:tr>
      <w:tr w14:paraId="01C6CCAE">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5DBBDD34">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428838D8">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12C96902">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511E03D1">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C₁₃数字化岗位职责落地率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4EDC3C19">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0.076</w:t>
            </w:r>
          </w:p>
        </w:tc>
      </w:tr>
      <w:tr w14:paraId="03A193DC">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0BBB486C">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6680AB7A">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B₂智能技术</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7BF510D3">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0.42</w:t>
            </w: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4421F1CC">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C₂₁危大工程物联网监测覆盖率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78774FF4">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0.118</w:t>
            </w:r>
          </w:p>
        </w:tc>
      </w:tr>
      <w:tr w14:paraId="2B50BCA3">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3C3E1B4B">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6703F34D">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0A031DE7">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64F0A3C8">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C₂₂BIM模型现场比对使用率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0D9EADC8">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0.097</w:t>
            </w:r>
          </w:p>
        </w:tc>
      </w:tr>
      <w:tr w14:paraId="3467B061">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72B9BCCF">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59A344A0">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6F4D994C">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7BA7F956">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C₂₃AI违章识别准确率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2DB14273">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0.092</w:t>
            </w:r>
          </w:p>
        </w:tc>
      </w:tr>
      <w:tr w14:paraId="51297A52">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155573AA">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6F24360F">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23C5641F">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0A16C08D">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C₂₄无人机月度巡检完成率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6EBDEE85">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0.055</w:t>
            </w:r>
          </w:p>
        </w:tc>
      </w:tr>
      <w:tr w14:paraId="6B84EF07">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6F9119EE">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5067F677">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00484937">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29B6DCAD">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C₂₅移动端线上整改闭环率</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1DB0441F">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0.058</w:t>
            </w:r>
          </w:p>
        </w:tc>
      </w:tr>
      <w:tr w14:paraId="21B7B7B4">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19BCB4B3">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7D1B950C">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B₃人才支撑</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6A0F619F">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0.20</w:t>
            </w: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53D6C8B0">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C₃₁月度数字化实操培训时长</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764638A4">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0.068</w:t>
            </w:r>
          </w:p>
        </w:tc>
      </w:tr>
      <w:tr w14:paraId="351E6A0C">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nil"/>
              <w:right w:val="nil"/>
            </w:tcBorders>
            <w:shd w:val="clear" w:color="auto" w:fill="auto"/>
            <w:noWrap w:val="0"/>
            <w:tcMar>
              <w:top w:w="160" w:type="dxa"/>
              <w:left w:w="160" w:type="dxa"/>
              <w:bottom w:w="160" w:type="dxa"/>
              <w:right w:w="160" w:type="dxa"/>
            </w:tcMar>
            <w:vAlign w:val="center"/>
          </w:tcPr>
          <w:p w14:paraId="7BE8F9FF">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nil"/>
              <w:right w:val="nil"/>
            </w:tcBorders>
            <w:shd w:val="clear" w:color="auto" w:fill="auto"/>
            <w:noWrap w:val="0"/>
            <w:tcMar>
              <w:top w:w="160" w:type="dxa"/>
              <w:left w:w="160" w:type="dxa"/>
              <w:bottom w:w="160" w:type="dxa"/>
              <w:right w:w="160" w:type="dxa"/>
            </w:tcMar>
            <w:vAlign w:val="center"/>
          </w:tcPr>
          <w:p w14:paraId="0B850149">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08D9BEA3">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nil"/>
              <w:right w:val="nil"/>
            </w:tcBorders>
            <w:shd w:val="clear" w:color="auto" w:fill="auto"/>
            <w:noWrap w:val="0"/>
            <w:tcMar>
              <w:top w:w="160" w:type="dxa"/>
              <w:left w:w="160" w:type="dxa"/>
              <w:bottom w:w="160" w:type="dxa"/>
              <w:right w:w="160" w:type="dxa"/>
            </w:tcMar>
            <w:vAlign w:val="center"/>
          </w:tcPr>
          <w:p w14:paraId="0EDBF40C">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C₃₂复合持证监理人员占比</w:t>
            </w:r>
          </w:p>
        </w:tc>
        <w:tc>
          <w:tcPr>
            <w:tcW w:w="1073" w:type="dxa"/>
            <w:tcBorders>
              <w:top w:val="nil"/>
              <w:left w:val="nil"/>
              <w:bottom w:val="nil"/>
              <w:right w:val="nil"/>
            </w:tcBorders>
            <w:shd w:val="clear" w:color="auto" w:fill="auto"/>
            <w:noWrap w:val="0"/>
            <w:tcMar>
              <w:top w:w="160" w:type="dxa"/>
              <w:left w:w="160" w:type="dxa"/>
              <w:bottom w:w="160" w:type="dxa"/>
              <w:right w:w="160" w:type="dxa"/>
            </w:tcMar>
            <w:vAlign w:val="center"/>
          </w:tcPr>
          <w:p w14:paraId="10405E9B">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0.084</w:t>
            </w:r>
          </w:p>
        </w:tc>
      </w:tr>
      <w:tr w14:paraId="700061D2">
        <w:tblPrEx>
          <w:tblW w:w="8521" w:type="dxa"/>
          <w:jc w:val="center"/>
          <w:shd w:val="clear" w:color="auto" w:fill="auto"/>
          <w:tblCellMar>
            <w:top w:w="15" w:type="dxa"/>
            <w:left w:w="15" w:type="dxa"/>
            <w:bottom w:w="15" w:type="dxa"/>
            <w:right w:w="15" w:type="dxa"/>
          </w:tblCellMar>
        </w:tblPrEx>
        <w:trPr>
          <w:trHeight w:hRule="auto" w:val="0"/>
          <w:jc w:val="center"/>
        </w:trPr>
        <w:tc>
          <w:tcPr>
            <w:tcW w:w="1816" w:type="dxa"/>
            <w:tcBorders>
              <w:top w:val="nil"/>
              <w:left w:val="nil"/>
              <w:bottom w:val="single" w:sz="12" w:space="0" w:color="CCCCCC"/>
              <w:right w:val="nil"/>
            </w:tcBorders>
            <w:shd w:val="clear" w:color="auto" w:fill="auto"/>
            <w:noWrap w:val="0"/>
            <w:tcMar>
              <w:top w:w="160" w:type="dxa"/>
              <w:left w:w="160" w:type="dxa"/>
              <w:bottom w:w="160" w:type="dxa"/>
              <w:right w:w="160" w:type="dxa"/>
            </w:tcMar>
            <w:vAlign w:val="center"/>
          </w:tcPr>
          <w:p w14:paraId="4487B7B9">
            <w:pPr>
              <w:keepNext/>
              <w:snapToGrid w:val="0"/>
              <w:ind w:left="0" w:right="0" w:firstLine="0" w:leftChars="0" w:rightChars="0" w:firstLineChars="0"/>
              <w:jc w:val="center"/>
              <w:rPr>
                <w:rFonts w:ascii="宋体" w:eastAsia="宋体" w:hint="eastAsia"/>
                <w:b w:val="0"/>
                <w:bCs/>
                <w:sz w:val="21"/>
                <w:szCs w:val="21"/>
              </w:rPr>
            </w:pPr>
          </w:p>
        </w:tc>
        <w:tc>
          <w:tcPr>
            <w:tcW w:w="1512" w:type="dxa"/>
            <w:tcBorders>
              <w:top w:val="nil"/>
              <w:left w:val="nil"/>
              <w:bottom w:val="single" w:sz="12" w:space="0" w:color="CCCCCC"/>
              <w:right w:val="nil"/>
            </w:tcBorders>
            <w:shd w:val="clear" w:color="auto" w:fill="auto"/>
            <w:noWrap w:val="0"/>
            <w:tcMar>
              <w:top w:w="160" w:type="dxa"/>
              <w:left w:w="160" w:type="dxa"/>
              <w:bottom w:w="160" w:type="dxa"/>
              <w:right w:w="160" w:type="dxa"/>
            </w:tcMar>
            <w:vAlign w:val="center"/>
          </w:tcPr>
          <w:p w14:paraId="05BB5C0A">
            <w:pPr>
              <w:keepNext/>
              <w:snapToGrid w:val="0"/>
              <w:ind w:left="0" w:right="0" w:firstLine="0" w:leftChars="0" w:rightChars="0" w:firstLineChars="0"/>
              <w:jc w:val="center"/>
              <w:rPr>
                <w:rFonts w:ascii="宋体" w:eastAsia="宋体" w:hint="eastAsia"/>
                <w:b w:val="0"/>
                <w:bCs/>
                <w:sz w:val="21"/>
                <w:szCs w:val="21"/>
              </w:rPr>
            </w:pPr>
          </w:p>
        </w:tc>
        <w:tc>
          <w:tcPr>
            <w:tcW w:w="1073" w:type="dxa"/>
            <w:tcBorders>
              <w:top w:val="nil"/>
              <w:left w:val="nil"/>
              <w:bottom w:val="single" w:sz="12" w:space="0" w:color="CCCCCC"/>
              <w:right w:val="nil"/>
            </w:tcBorders>
            <w:shd w:val="clear" w:color="auto" w:fill="auto"/>
            <w:noWrap w:val="0"/>
            <w:tcMar>
              <w:top w:w="160" w:type="dxa"/>
              <w:left w:w="160" w:type="dxa"/>
              <w:bottom w:w="160" w:type="dxa"/>
              <w:right w:w="160" w:type="dxa"/>
            </w:tcMar>
            <w:vAlign w:val="center"/>
          </w:tcPr>
          <w:p w14:paraId="7722FE84">
            <w:pPr>
              <w:keepNext/>
              <w:snapToGrid w:val="0"/>
              <w:ind w:left="0" w:right="0" w:firstLine="0" w:leftChars="0" w:rightChars="0" w:firstLineChars="0"/>
              <w:jc w:val="center"/>
              <w:rPr>
                <w:rFonts w:ascii="宋体" w:eastAsia="宋体" w:hint="eastAsia"/>
                <w:b w:val="0"/>
                <w:bCs/>
                <w:sz w:val="21"/>
                <w:szCs w:val="21"/>
              </w:rPr>
            </w:pPr>
          </w:p>
        </w:tc>
        <w:tc>
          <w:tcPr>
            <w:tcW w:w="3046" w:type="dxa"/>
            <w:tcBorders>
              <w:top w:val="nil"/>
              <w:left w:val="nil"/>
              <w:bottom w:val="single" w:sz="12" w:space="0" w:color="CCCCCC"/>
              <w:right w:val="nil"/>
            </w:tcBorders>
            <w:shd w:val="clear" w:color="auto" w:fill="auto"/>
            <w:noWrap w:val="0"/>
            <w:tcMar>
              <w:top w:w="160" w:type="dxa"/>
              <w:left w:w="160" w:type="dxa"/>
              <w:bottom w:w="160" w:type="dxa"/>
              <w:right w:w="160" w:type="dxa"/>
            </w:tcMar>
            <w:vAlign w:val="center"/>
          </w:tcPr>
          <w:p w14:paraId="4809C296">
            <w:pPr>
              <w:keepNext/>
              <w:keepLines w:val="0"/>
              <w:widowControl/>
              <w:suppressLineNumbers w:val="0"/>
              <w:snapToGrid w:val="0"/>
              <w:ind w:left="0" w:right="0" w:firstLine="0" w:leftChars="0" w:rightChars="0" w:firstLineChars="0"/>
              <w:jc w:val="left"/>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C₃₃智能设备操作考核达标率</w:t>
            </w:r>
          </w:p>
        </w:tc>
        <w:tc>
          <w:tcPr>
            <w:tcW w:w="1073" w:type="dxa"/>
            <w:tcBorders>
              <w:top w:val="nil"/>
              <w:left w:val="nil"/>
              <w:bottom w:val="single" w:sz="12" w:space="0" w:color="CCCCCC"/>
              <w:right w:val="nil"/>
            </w:tcBorders>
            <w:shd w:val="clear" w:color="auto" w:fill="auto"/>
            <w:noWrap w:val="0"/>
            <w:tcMar>
              <w:top w:w="160" w:type="dxa"/>
              <w:left w:w="160" w:type="dxa"/>
              <w:bottom w:w="160" w:type="dxa"/>
              <w:right w:w="160" w:type="dxa"/>
            </w:tcMar>
            <w:vAlign w:val="center"/>
          </w:tcPr>
          <w:p w14:paraId="7A377199">
            <w:pPr>
              <w:keepNext/>
              <w:keepLines w:val="0"/>
              <w:widowControl/>
              <w:suppressLineNumbers w:val="0"/>
              <w:snapToGrid w:val="0"/>
              <w:ind w:left="0" w:right="0" w:firstLine="0" w:leftChars="0" w:rightChars="0" w:firstLineChars="0"/>
              <w:jc w:val="center"/>
              <w:rPr>
                <w:rFonts w:ascii="宋体" w:eastAsia="宋体"/>
                <w:b w:val="0"/>
                <w:bCs/>
                <w:sz w:val="21"/>
                <w:szCs w:val="21"/>
              </w:rPr>
            </w:pPr>
            <w:r>
              <w:rPr>
                <w:rFonts w:ascii="宋体" w:eastAsia="宋体" w:hAnsi="宋体" w:cs="宋体"/>
                <w:b w:val="0"/>
                <w:bCs/>
                <w:kern w:val="0"/>
                <w:sz w:val="21"/>
                <w:szCs w:val="21"/>
                <w:bdr w:val="none" w:sz="0" w:space="0" w:color="auto"/>
                <w:lang w:val="en-US" w:eastAsia="zh-CN" w:bidi="ar"/>
              </w:rPr>
              <w:t>0.048</w:t>
            </w:r>
          </w:p>
        </w:tc>
      </w:tr>
    </w:tbl>
    <w:p w14:paraId="7C41116C">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outlineLvl w:val="1"/>
        <w:rPr>
          <w:rFonts w:ascii="宋体" w:eastAsia="宋体" w:hAnsi="宋体" w:cs="宋体" w:hint="eastAsia"/>
          <w:b w:val="0"/>
          <w:bCs/>
          <w:sz w:val="21"/>
          <w:szCs w:val="21"/>
        </w:rPr>
      </w:pPr>
    </w:p>
    <w:p w14:paraId="2BCD795E">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p>
    <w:p w14:paraId="5A9051B2">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r>
        <w:rPr>
          <w:rFonts w:ascii="宋体" w:eastAsia="宋体" w:hAnsi="宋体" w:cs="宋体" w:hint="eastAsia"/>
          <w:b w:val="0"/>
          <w:bCs/>
          <w:sz w:val="21"/>
          <w:szCs w:val="21"/>
        </w:rPr>
        <w:t>2.3智慧监理综合效能标准化测算公式推导</w:t>
      </w:r>
      <w:bookmarkEnd w:id="11"/>
    </w:p>
    <w:p w14:paraId="69A4EA92">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第k项底层量化指标标准化得分Xk（0≤Xk≤10），对应的全局权重为Wk，求出智慧监理综合效能总得分的测算公式为</w:t>
      </w:r>
    </w:p>
    <w:p>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m:oMathPara>
        <m:oMathParaPr>
          <m:jc m:val="center"/>
        </m:oMathParaPr>
        <m:oMath>
          <m:r>
            <w:rPr>
              <w:rFonts w:ascii="DejaVu Math TeX Gyre" w:eastAsia="宋体" w:hAnsi="DejaVu Math TeX Gyre" w:cs="宋体" w:hint="eastAsia"/>
              <w:sz w:val="21"/>
              <w:szCs w:val="21"/>
            </w:rPr>
            <m:t>S=</m:t>
          </m:r>
          <m:nary>
            <m:naryPr>
              <m:chr m:val="∑"/>
              <m:grow/>
              <m:limLoc m:val="undOvr"/>
              <m:ctrlPr>
                <w:rPr>
                  <w:rFonts w:ascii="DejaVu Math TeX Gyre" w:eastAsia="宋体" w:hAnsi="DejaVu Math TeX Gyre" w:cs="宋体" w:hint="eastAsia"/>
                  <w:b w:val="0"/>
                  <w:bCs/>
                  <w:sz w:val="21"/>
                  <w:szCs w:val="21"/>
                </w:rPr>
              </m:ctrlPr>
            </m:naryPr>
            <m:sub>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k=1</m:t>
              </m:r>
            </m:sub>
            <m:sup>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12</m:t>
              </m:r>
            </m:sup>
            <m:e>
              <m:ctrlPr>
                <w:rPr>
                  <w:rFonts w:ascii="DejaVu Math TeX Gyre" w:eastAsia="宋体" w:hAnsi="DejaVu Math TeX Gyre" w:cs="宋体" w:hint="eastAsia"/>
                  <w:b w:val="0"/>
                  <w:bCs/>
                  <w:sz w:val="21"/>
                  <w:szCs w:val="21"/>
                </w:rPr>
              </m:ctrlPr>
            </m:e>
          </m:nary>
          <m:sSub>
            <m:sSubPr>
              <m:ctrlPr>
                <w:rPr>
                  <w:rFonts w:ascii="DejaVu Math TeX Gyre" w:eastAsia="宋体" w:hAnsi="DejaVu Math TeX Gyre" w:cs="宋体" w:hint="eastAsia"/>
                  <w:b w:val="0"/>
                  <w:bCs/>
                  <w:sz w:val="21"/>
                  <w:szCs w:val="21"/>
                </w:rPr>
              </m:ctrlPr>
            </m:sSubPr>
            <m:e>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W</m:t>
              </m:r>
            </m:e>
            <m:sub>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k</m:t>
              </m:r>
            </m:sub>
          </m:sSub>
          <m:sSub>
            <m:sSubPr>
              <m:ctrlPr>
                <w:rPr>
                  <w:rFonts w:ascii="DejaVu Math TeX Gyre" w:eastAsia="宋体" w:hAnsi="DejaVu Math TeX Gyre" w:cs="宋体" w:hint="eastAsia"/>
                  <w:b w:val="0"/>
                  <w:bCs/>
                  <w:sz w:val="21"/>
                  <w:szCs w:val="21"/>
                </w:rPr>
              </m:ctrlPr>
            </m:sSubPr>
            <m:e>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X</m:t>
              </m:r>
            </m:e>
            <m:sub>
              <m:ctrlPr>
                <w:rPr>
                  <w:rFonts w:ascii="DejaVu Math TeX Gyre" w:eastAsia="宋体" w:hAnsi="DejaVu Math TeX Gyre" w:cs="宋体" w:hint="eastAsia"/>
                  <w:b w:val="0"/>
                  <w:bCs/>
                  <w:sz w:val="21"/>
                  <w:szCs w:val="21"/>
                </w:rPr>
              </m:ctrlPr>
              <m:r>
                <w:rPr>
                  <w:rFonts w:ascii="DejaVu Math TeX Gyre" w:eastAsia="宋体" w:hAnsi="DejaVu Math TeX Gyre" w:cs="宋体" w:hint="eastAsia"/>
                  <w:sz w:val="21"/>
                  <w:szCs w:val="21"/>
                </w:rPr>
                <m:t>k</m:t>
              </m:r>
            </m:sub>
          </m:sSub>
        </m:oMath>
      </m:oMathPara>
    </w:p>
    <w:p>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u w:val="none"/>
        </w:rPr>
        <w:t>式中S为智慧监理综合效能值，取值范围为0到10；Wk为第k项二级指标的全局权重；Xk为指标标准化打分值。根据得分区间来划分三级效能等级，高效区间为8到10，中等区间为5到8，低效区间为0到5。指标标准化打分统一用线性归一法把现场原始采集数据换算成0到10的标准区间，消除不同</w:t>
      </w:r>
      <w:r>
        <w:rPr>
          <w:rFonts w:ascii="宋体" w:eastAsia="宋体" w:hAnsi="宋体" w:cs="宋体" w:hint="eastAsia"/>
          <w:b w:val="0"/>
          <w:bCs/>
          <w:sz w:val="21"/>
          <w:szCs w:val="21"/>
        </w:rPr>
        <w:t>指标量纲的差别。该公式只用分层指标和加权权重做线性求和，计算简单适合工程现场快速测算，完整保留了各个层次的指标贡献度，实现了监理管控效能的数字化、数值化输出，完成了分层量化评价模型的核心数理建构。</w:t>
      </w:r>
    </w:p>
    <w:p w14:paraId="56C73C19">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12" w:name="heading_12"/>
      <w:r>
        <w:rPr>
          <w:rFonts w:ascii="宋体" w:eastAsia="宋体" w:hAnsi="宋体" w:cs="宋体" w:hint="eastAsia"/>
          <w:b w:val="0"/>
          <w:bCs/>
          <w:sz w:val="21"/>
          <w:szCs w:val="21"/>
        </w:rPr>
        <w:t>2.4指标量纲归一化处理方法</w:t>
      </w:r>
    </w:p>
    <w:p w14:paraId="66C9E348">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0"/>
        <w:rPr>
          <w:rFonts w:ascii="宋体" w:eastAsia="宋体" w:hAnsi="宋体" w:cs="宋体" w:hint="eastAsia"/>
          <w:b w:val="0"/>
          <w:bCs/>
          <w:sz w:val="21"/>
          <w:szCs w:val="21"/>
        </w:rPr>
      </w:pPr>
      <w:r>
        <w:rPr>
          <w:rFonts w:ascii="宋体" w:eastAsia="宋体" w:hAnsi="宋体" w:cs="宋体" w:hint="eastAsia"/>
          <w:b w:val="0"/>
          <w:bCs/>
          <w:sz w:val="21"/>
          <w:szCs w:val="21"/>
        </w:rPr>
        <w:t>各个二级量化指标原始采集数据量纲存在较大的差别，比如预警闭环时效单位是小时、培训时长单位是学时、监测覆盖率为百分比，直接加权计算会使得评价失真，所以设计出线性归一化统一换算的方法。设定任意指标原始采集数值为Y，指标最优上限Ymax、最差下限Ymin，标准化得分换算公式为X=10×(Y-Ymin)/(Ymax-Ymin)。对正向指标持证人员占比、监测覆盖率，数值越大得分越高，负向指标预警处置时长，将公式改为X=10×(Ymax-Y)/(Ymax-Ymin)。预警闭环时效行业合理区间为1\12h，优化前平均9.6h，代入负向公式得到标准化得分2分；优化后平均1.8h，换算得分8.5分。所有指标统一映射到0到10的标准区间内，消除由于单位、数值区间造成的计算误差。归一化流程嵌入到项目云端评价模块中，现场原始数据上传之后系统就会自动完成换算，不需要人工二次计算，保证综合效能测算统一标准，提高多项目横向对比的公平性。</w:t>
      </w:r>
    </w:p>
    <w:p w14:paraId="437F1C68">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0"/>
        <w:rPr>
          <w:rFonts w:ascii="宋体" w:eastAsia="宋体" w:hAnsi="宋体" w:cs="宋体" w:hint="eastAsia"/>
          <w:b w:val="0"/>
          <w:bCs/>
          <w:sz w:val="21"/>
          <w:szCs w:val="21"/>
        </w:rPr>
      </w:pPr>
      <w:r>
        <w:rPr>
          <w:rFonts w:ascii="宋体" w:eastAsia="宋体" w:hAnsi="宋体" w:cs="宋体" w:hint="eastAsia"/>
          <w:b w:val="0"/>
          <w:bCs/>
          <w:sz w:val="21"/>
          <w:szCs w:val="21"/>
        </w:rPr>
        <w:t>3评价模型工程实证演算与体系适配性校验</w:t>
      </w:r>
      <w:bookmarkEnd w:id="12"/>
    </w:p>
    <w:p w14:paraId="04D62D1F">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3" w:name="heading_13"/>
      <w:r>
        <w:rPr>
          <w:rFonts w:ascii="宋体" w:eastAsia="宋体" w:hAnsi="宋体" w:cs="宋体" w:hint="eastAsia"/>
          <w:b w:val="0"/>
          <w:bCs/>
          <w:sz w:val="21"/>
          <w:szCs w:val="21"/>
        </w:rPr>
        <w:t>3.1实证项目基础数据采集与指标标准化处理</w:t>
      </w:r>
      <w:bookmarkEnd w:id="13"/>
    </w:p>
    <w:p w14:paraId="68C0C82E">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选取河北石家庄某26层高层住宅智慧工地作为实证对象，项目建筑面积为11.2万㎡，配有基坑传感、AI监控、BIM轻量化平台、移动巡检终端等全套智慧监理硬件。分别采集模型优化前、优化后的两个现场原始监测和管理数据，记录各个指标的统计口径，然后用线性归一化的方法将原始数据换算成0到10的标准化得分Xₖ。优化前底层指标标准化得分普遍较低，危大工程监测覆盖率、复合持证人员占比两项核心指标得分均不足4分；优化后完成云协同平台升级、传感点位加密、数字化专项培训，12项指标标准化得分全部提高。将两组标准化得分和前文求解的全局权重代入综合效能测算公式，分别计算改造前后综合效能S值，直观地量化智慧监理体系升级带来的效能提升幅度，完成模型工程层面的落地演算。</w:t>
      </w:r>
    </w:p>
    <w:p w14:paraId="60529020">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4" w:name="heading_14"/>
      <w:r>
        <w:rPr>
          <w:rFonts w:ascii="宋体" w:eastAsia="宋体" w:hAnsi="宋体" w:cs="宋体" w:hint="eastAsia"/>
          <w:b w:val="0"/>
          <w:bCs/>
          <w:sz w:val="21"/>
          <w:szCs w:val="21"/>
        </w:rPr>
        <w:t>3.2模型测算结果对比与效能提升量化分析</w:t>
      </w:r>
      <w:bookmarkEnd w:id="14"/>
    </w:p>
    <w:p w14:paraId="6B636B89">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代入标准化得分和全局权重进行演算，项目优化前综合效能S₁为4.26，属于低效区间；优化后综合效能S₂为8.71，进入高效管控区间，综合效能整体提高104.46%。分项维度测算结果表明智能技术维度得分提高幅度最大，达到116.3%，主要是由于物联网监测、AI识别、线上闭环设备全面布设所致；组织协同维度增加92.7%，是由于多方云端数据互通机制落地造成的；人才支撑维度增加79.2%，是由于数字化持证激励和常态化实操培训所致。同步统计现场隐患识别量化数据，优化前日均有效隐患识别11条，优化后日均14.4条，识别效率提高30.8%，与模型测算的效能提升趋势一致。实证演算结果表明，本文分层量化模型测算数值和工程实际管控效果有很高的契合度，模型具有工程适应性和测算可靠性。</w:t>
      </w:r>
    </w:p>
    <w:p w14:paraId="6FB2F8DB">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5" w:name="heading_15"/>
      <w:r>
        <w:rPr>
          <w:rFonts w:ascii="宋体" w:eastAsia="宋体" w:hAnsi="宋体" w:cs="宋体" w:hint="eastAsia"/>
          <w:b w:val="0"/>
          <w:bCs/>
          <w:sz w:val="21"/>
          <w:szCs w:val="21"/>
        </w:rPr>
        <w:t>3.3模型普适性与边界约束条件校验</w:t>
      </w:r>
      <w:bookmarkEnd w:id="15"/>
    </w:p>
    <w:p w14:paraId="4F438588">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为了检验分层量化评价模型的普适性，选择多层住宅、商业综合体两种不同的业态项目进行平行测算，比较模型输出的效能得分和现场监理管控的真实水平，两组项目的测算等级和实际运行状态完全一致，说明指标体系、赋权算法、测算公式不受到建筑业态的限制，具有通用工程的适应性。同时确定模型的应用边界约束，本分层量化评价模型只适用于配备齐全智慧感知硬件的房建类施工监理场景，不包含纯人工无数字化设备监理项目，指标权重根据华北地区监理专家调研确定，跨区域应用时需要重新构造判断矩阵微调权重数值，核心测算公式保持不变。经过多项目平行校验以及应用边界确定，完善模型完整的应用规范，防止模型超范围使用，提高整套分层量化评价体系工程复用的价值。</w:t>
      </w:r>
    </w:p>
    <w:p w14:paraId="7D516425">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16" w:name="heading_16"/>
      <w:r>
        <w:rPr>
          <w:rFonts w:ascii="宋体" w:eastAsia="宋体" w:hAnsi="宋体" w:cs="宋体" w:hint="eastAsia"/>
          <w:b w:val="0"/>
          <w:bCs/>
          <w:sz w:val="21"/>
          <w:szCs w:val="21"/>
        </w:rPr>
        <w:t>结束语</w:t>
      </w:r>
      <w:bookmarkEnd w:id="16"/>
    </w:p>
    <w:p w14:paraId="3EB2C0F0">
      <w:pPr>
        <w:keepNext w:val="0"/>
        <w:keepLines w:val="0"/>
        <w:pageBreakBefore w:val="0"/>
        <w:widowControl w:val="0"/>
        <w:kinsoku/>
        <w:wordWrap/>
        <w:overflowPunct/>
        <w:topLinePunct w:val="0"/>
        <w:autoSpaceDE/>
        <w:autoSpaceDN/>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本文从指标分层解构、德尔菲数理筛选、AHP权重赋值、综合效能公式推导、工程实证校验五个层次来完成智慧监理分层量化评价模型的原创建构。用数理规则筛选出三级可量化的指标，推导出标准化的效能测算公式，并进行工程实测演算，从而达到智慧监理管控成效的客观数值化评判。后续可以对市政、装配式工程的指标权重进行调整，扩大模型的应用范围，给建筑工程数字化监理成效定量测度提供一套数理工具。</w:t>
      </w:r>
    </w:p>
    <w:p w14:paraId="09779004">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17" w:name="heading_17"/>
      <w:r>
        <w:rPr>
          <w:rFonts w:ascii="宋体" w:eastAsia="宋体" w:hAnsi="宋体" w:cs="宋体" w:hint="eastAsia"/>
          <w:b w:val="0"/>
          <w:bCs/>
          <w:sz w:val="21"/>
          <w:szCs w:val="21"/>
        </w:rPr>
        <w:t>参考文献</w:t>
      </w:r>
      <w:bookmarkEnd w:id="17"/>
    </w:p>
    <w:p w14:paraId="26B2ACE2">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[1]吴金松。建筑工程施工监理质量控制[J].产品可靠性报告，2025,(06):87-88.</w:t>
      </w:r>
    </w:p>
    <w:p>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[2]黄佳煌。工程监理在建筑工程施工阶段的重要性与应用研究[J].房地产世界，2024,(23):87-91.</w:t>
      </w:r>
    </w:p>
    <w:p>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[3]王斌。层次分析法在工程数字化评价中的应用[J].江苏建材，2024,(02):157-160.</w:t>
      </w:r>
    </w:p>
    <w:p>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[4]杨国生。智慧工地数字化管控效能定性与定量对比研究[J].散装水泥，2024,(01):142-147.</w:t>
      </w:r>
    </w:p>
    <w:p>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[5]黄小妹。智慧监理数字化指标选取思路[J].居业，2023,(11):141-144.</w:t>
      </w:r>
      <w:bookmarkStart w:id="18" w:name="_GoBack"/>
      <w:bookmarkEnd w:id="18"/>
    </w:p>
    <w:p w14:paraId="034D1CFA">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rPr>
          <w:rFonts w:ascii="宋体" w:eastAsia="宋体" w:hAnsi="宋体" w:cs="宋体" w:hint="eastAsia"/>
          <w:b w:val="0"/>
          <w:bCs/>
          <w:sz w:val="21"/>
          <w:szCs w:val="21"/>
        </w:rPr>
      </w:pPr>
    </w:p>
    <w:sectPr>
      <w:headerReference w:type="default" r:id="rId5"/>
      <w:footerReference w:type="default" r:id="rId6"/>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Geneva">
    <w:panose1 w:val="020B0503030404040204"/>
    <w:charset w:val="00"/>
    <w:family w:val="auto"/>
    <w:pitch w:val="default"/>
    <w:sig w:usb0="E00002FF" w:usb1="5200205F" w:usb2="00A0C000" w:usb3="00000200" w:csb0="2000019F"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MS Mincho">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EABE783"/>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5789BA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BB563856"/>
    <w:rsid w:val="DBE23C91"/>
    <w:rsid w:val="5F3B5E78"/>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18</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微信用户</cp:lastModifiedBy>
  <cp:revision>0</cp:revision>
  <dcterms:created xsi:type="dcterms:W3CDTF">2026-06-29T10:29:00Z</dcterms:created>
  <dcterms:modified xsi:type="dcterms:W3CDTF">2026-06-29T10:55:19Z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{"Label":"1","ContentProducer":"001191110102MACQD9K64010000","ProduceID":"7656638944471157692","ReservedCode1":"","ContentPropagator":"","PropagateID":"","ReservedCode2":""}</vt:lpwstr>
  </property>
  <property fmtid="{D5CDD505-2E9C-101B-9397-08002B2CF9AE}" pid="3" name="ICV">
    <vt:lpwstr>252830E50E9BE57F97DE416A66E20B4E_43</vt:lpwstr>
  </property>
  <property fmtid="{D5CDD505-2E9C-101B-9397-08002B2CF9AE}" pid="4" name="KSOProductBuildVer">
    <vt:lpwstr>2052-12.1.25869.25869</vt:lpwstr>
  </property>
</Properties>
</file>