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1634EF9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摘要：</w:t>
      </w:r>
      <w:r>
        <w:rPr>
          <w:rFonts w:ascii="宋体" w:eastAsia="宋体" w:hAnsi="宋体" w:cs="宋体" w:hint="eastAsia"/>
          <w:color w:val="0000FF"/>
          <w:lang w:val="en-US" w:eastAsia="zh-CN"/>
        </w:rPr>
        <w:t>伴随着教育数字化转型的不断推进，智能技术与基础教育的融合也由原来的理论探索走向了实践落地，给学科教学模式的改善以及育人质量的提高赋予了诸多途径。高中地理具有综合性、区域性特点，传统教学模式在抽象概念的具象化、个体需求的适应性等方面存在不足，不能完全满足核心素养导向下教学的要求。本文以高中地理教学方法和人工智能技术有效融合为研究对象，对两者融合的育人价值进行分析，从课前、课中、课后三个方面提出可以操作的融合实施路径，结合实践层面存在的共性问题进行反思，总结出融合过程中需要注意的核心问题，为高中地理教学智能化升级提供可行的参考，促进学生地理核心素养的培养。</w:t>
      </w:r>
    </w:p>
    <w:p w14:paraId="22A37F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关键词：人工智能；高中地理；教学融合；精准教学；智慧课堂</w:t>
      </w:r>
    </w:p>
    <w:p w14:paraId="68AA0E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p>
    <w:p w14:paraId="78CFF86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新一轮课程改革背景之下，高中地理教学的主要目的就是培养学生地理核心素养，重视教学过程中知识传授和思维能力、实践能力的培养，对传统的教学模式提出了新的要求。人工智能技术是包含数据分析、虚拟仿真、智能推荐等众多功能的技术集合，它不是对传统教学的简单取代，而是用技术工具赋能教学全过程，重新建构教学的组织形式和实施逻辑。探寻人工智能同高中地理教学方法融合途径，可以给地理教学冲破时空束缚、契合学生差别赋予新的解决办法，对于充实地理教学展现形式、加强教学精确度和有效性、推进高中地理教学革新有着十分重要的现实意义。</w:t>
      </w:r>
    </w:p>
    <w:p w14:paraId="7578879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一、人工智能技术与高中地理教学方法有效融合的意义</w:t>
      </w:r>
    </w:p>
    <w:p w14:paraId="3CF6FC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（一）拓展学习场域，打破时空认知局限</w:t>
      </w:r>
    </w:p>
    <w:p w14:paraId="2AF97C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地理学科的研究对象包含宏观宇宙环境以及微观地貌演化等众多的尺度，很多地理过程和现象不能在有限的课堂空间里被直观地呈现出来，学生对于抽象的地理原理理解常常依靠想象和记忆，很难建立起完整的、立体的认识。人工智能技术支持下虚拟仿真、全景场景构建可以动态还原不同时空尺度的地理过程，学生通过智能终端接入对应学习场景，对地理现象的演化过程进行沉浸式观察，学习场景不再局限于固定的教室和课时，可以利用碎片化时间完成对应内容的学习，对地理知识的感知由平面的文字和静态的图片转变为立体的动态过程，加深对地理规律内在的理解</w:t>
      </w:r>
      <w:r>
        <w:rPr>
          <w:rFonts w:ascii="宋体" w:eastAsia="宋体" w:hAnsi="宋体" w:cs="宋体" w:hint="eastAsia"/>
          <w:color w:val="0000FF"/>
          <w:vertAlign w:val="superscript"/>
          <w:lang w:val="en-US" w:eastAsia="zh-CN"/>
        </w:rPr>
        <w:t>[1]</w:t>
      </w:r>
      <w:r>
        <w:rPr>
          <w:rFonts w:ascii="宋体" w:eastAsia="宋体" w:hAnsi="宋体" w:cs="宋体" w:hint="eastAsia"/>
          <w:color w:val="0000FF"/>
          <w:lang w:val="en-US" w:eastAsia="zh-CN"/>
        </w:rPr>
        <w:t>。</w:t>
      </w:r>
    </w:p>
    <w:p w14:paraId="68FE30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（二）适配个体差异，践行精准教学理念</w:t>
      </w:r>
    </w:p>
    <w:p w14:paraId="75E2B3E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让每一个学生都能够得到适合自己的学习支持，这是教育多年来一直追求的目标，传统的班级授课制下统一的教学进度和内容供给，不能满足不同知识基础、不同认知风格学生的学习需求，部分学生因为内容难度不适合而造成学习效率低下的情况。人工智能技术依靠对学习数据的收集和分析，可以对学生知识掌握情况、学习习惯、认知偏好等各方面做出详细的描绘，从而给不同的学生提供相应的学习资源以及任务难度，使教学供给由统一化变为个性化，学生可以在自己能够接受的节奏里进行学习，既有利于基础薄弱的学生打牢知识基础，也有利于学有余力的学生拓展知识面，使因材施教的教学思想落实到日常教学的各个环节。</w:t>
      </w:r>
    </w:p>
    <w:p w14:paraId="561232F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（三）优化交互形态，丰富课堂教学维度</w:t>
      </w:r>
    </w:p>
    <w:p w14:paraId="15502E9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color w:val="0000FF"/>
          <w:lang w:val="en-US" w:eastAsia="zh-CN"/>
        </w:rPr>
      </w:pPr>
      <w:r>
        <w:rPr>
          <w:rFonts w:ascii="宋体" w:eastAsia="宋体" w:hAnsi="宋体" w:cs="宋体" w:hint="eastAsia"/>
          <w:color w:val="0000FF"/>
          <w:lang w:val="en-US" w:eastAsia="zh-CN"/>
        </w:rPr>
        <w:t>课堂互动是促使学生知识内化、激发学习主动性的关键环节，传统的课堂互动大多采用教师提问、学生举手回答的形式进行，由于课堂时间的限制，覆盖面小，大多数学生的学情和疑问不能得到及时的反馈</w:t>
      </w:r>
      <w:r>
        <w:rPr>
          <w:rFonts w:ascii="宋体" w:eastAsia="宋体" w:hAnsi="宋体" w:cs="宋体" w:hint="eastAsia"/>
          <w:color w:val="0000FF"/>
          <w:vertAlign w:val="superscript"/>
          <w:lang w:val="en-US" w:eastAsia="zh-CN"/>
        </w:rPr>
        <w:t>[2]</w:t>
      </w:r>
      <w:r>
        <w:rPr>
          <w:rFonts w:ascii="宋体" w:eastAsia="宋体" w:hAnsi="宋体" w:cs="宋体" w:hint="eastAsia"/>
          <w:color w:val="0000FF"/>
          <w:lang w:val="en-US" w:eastAsia="zh-CN"/>
        </w:rPr>
        <w:t>。人工智能工具可以作为课堂互动的补充载体，承接基础性的答疑、作答收集和即时反馈工作，学生可以通过终端随时提交自己的疑问和观点，系统会自动汇总出共性问题，给教师的讲解提供参考，小组探究环节中智能工具可以辅助完成讨论记录、观点整理等工作，使师生互动的频次和覆盖范围得到拓展，教师可以从重复性的事务性工作当中解脱出来，把更多的精力投入到教学设计和思维引导当中去，课堂教学的运行效率和深度得到同步提高。</w:t>
      </w:r>
    </w:p>
    <w:p w14:paraId="1E1BB9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lang w:val="en-US" w:eastAsia="zh-CN"/>
        </w:rPr>
      </w:pPr>
    </w:p>
    <w:p w14:paraId="2D6329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lang w:val="en-US" w:eastAsia="zh-CN"/>
        </w:rPr>
      </w:pPr>
      <w:bookmarkStart w:id="0" w:name="_GoBack"/>
      <w:bookmarkEnd w:id="0"/>
      <w:r>
        <w:rPr>
          <w:rFonts w:ascii="宋体" w:eastAsia="宋体" w:hAnsi="宋体" w:cs="宋体" w:hint="eastAsia"/>
          <w:lang w:val="en-US" w:eastAsia="zh-CN"/>
        </w:rPr>
        <w:t>（一）把控技术应用的合理边界</w:t>
      </w:r>
    </w:p>
    <w:p w14:paraId="09AED1E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lang w:val="en-US" w:eastAsia="zh-CN"/>
        </w:rPr>
      </w:pPr>
      <w:r>
        <w:rPr>
          <w:rFonts w:ascii="宋体" w:eastAsia="宋体" w:hAnsi="宋体" w:cs="宋体" w:hint="eastAsia"/>
          <w:lang w:val="en-US" w:eastAsia="zh-CN"/>
        </w:rPr>
        <w:t>人工智能技术在教学中应用的价值体现在工具属性上，其主要功能就是改善教学流程、充实教学形式，而不是取代教师在教学过程中所起的主导作用，这是融合实践过程中必须明确的前提。实际应用过程中要防止过分依靠技术工具而削弱师生之间的情感交流和思维碰撞，地理学科中包含的人地协调观念培养、区域认知中的人文内涵阐释、综合思维的深入引领等部分，仍然需要教师以面对面的方式进行交流与引导，技术工具应该服务于具体的教学目标，根据不同的教学内容选择适合的技术形式，不能为了追求技术呈现的炫酷效果而偏离教学的核心目标，还要注意技术应用的现实适配性，结合学校的硬件条件、学生的终端使用习惯和认知水平来调整技术应用的形式和深度，保证技术应用真正服务于学生的学与教。</w:t>
      </w:r>
    </w:p>
    <w:p w14:paraId="076453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lang w:val="en-US" w:eastAsia="zh-CN"/>
        </w:rPr>
      </w:pPr>
      <w:r>
        <w:rPr>
          <w:rFonts w:ascii="宋体" w:eastAsia="宋体" w:hAnsi="宋体" w:cs="宋体" w:hint="eastAsia"/>
          <w:lang w:val="en-US" w:eastAsia="zh-CN"/>
        </w:rPr>
        <w:t>结语</w:t>
      </w:r>
    </w:p>
    <w:p w14:paraId="5532668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eastAsia="宋体" w:hAnsi="宋体" w:cs="宋体" w:hint="eastAsia"/>
          <w:lang w:val="en-US" w:eastAsia="zh-CN"/>
        </w:rPr>
      </w:pPr>
      <w:r>
        <w:rPr>
          <w:rFonts w:ascii="宋体" w:eastAsia="宋体" w:hAnsi="宋体" w:cs="宋体" w:hint="eastAsia"/>
          <w:lang w:val="en-US" w:eastAsia="zh-CN"/>
        </w:rPr>
        <w:t>因此，人工智能技术和高中地理教学方法相结合，是教育数字化背景之下高中地理教学改革的新方向，它给学习场景的拓展、个体学习需求的满足、教学全过程的优化等方面带来价值的初步体现。随着智能技术不断发展和教学实践不断深入，二者之间会越来越紧密，给高中地理育人质量的稳步提高提供越来越大的支持，给学生地理核心素养的培养创造更加广阔的空间。</w:t>
      </w:r>
    </w:p>
    <w:p w14:paraId="70F2A57B">
      <w:pPr>
        <w:rPr>
          <w:rFonts w:hint="default"/>
          <w:lang w:val="en-US" w:eastAsia="zh-CN"/>
        </w:rPr>
      </w:pPr>
    </w:p>
    <w:sectPr>
      <w:pgSz w:w="11906" w:h="16838"/>
      <w:pgMar w:top="1440" w:right="1800" w:bottom="1440" w:left="1800" w:header="851" w:footer="992" w:gutter="0"/>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Emoji">
    <w:panose1 w:val="020B0502040204020203"/>
    <w:charset w:val="00"/>
    <w:family w:val="auto"/>
    <w:pitch w:val="default"/>
    <w:sig w:usb0="00000001" w:usb1="02000000" w:usb2="08000000" w:usb3="00000000" w:csb0="00000001" w:csb1="00000000"/>
  </w:font>
  <w:font w:name="Cambria Math">
    <w:panose1 w:val="02040503050406030204"/>
    <w:charset w:val="00"/>
    <w:family w:val="auto"/>
    <w:pitch w:val="default"/>
    <w:sig w:usb0="E00006FF" w:usb1="420024FF" w:usb2="02000000" w:usb3="00000000" w:csb0="2000019F" w:csb1="00000000"/>
  </w:font>
  <w:font w:name="MS Mincho">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1054CF8"/>
    <w:rsid w:val="07F82472"/>
    <w:rsid w:val="1F171A10"/>
    <w:rsid w:val="273E043A"/>
    <w:rsid w:val="2BBC541B"/>
    <w:rsid w:val="70B13BF4"/>
    <w:rsid w:val="7BBC3E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paragraph" w:styleId="Heading4">
    <w:name w:val="heading 4"/>
    <w:basedOn w:val="Normal"/>
    <w:next w:val="Normal"/>
    <w:semiHidden/>
    <w:unhideWhenUsed/>
    <w:qFormat/>
    <w:pPr>
      <w:spacing w:before="0" w:beforeAutospacing="1" w:after="0" w:afterAutospacing="1"/>
      <w:jc w:val="left"/>
      <w:outlineLvl w:val="3"/>
    </w:pPr>
    <w:rPr>
      <w:rFonts w:ascii="宋体" w:eastAsia="宋体" w:hAnsi="宋体" w:cs="宋体" w:hint="eastAsia"/>
      <w:b/>
      <w:bCs/>
      <w:kern w:val="0"/>
      <w:sz w:val="24"/>
      <w:szCs w:val="24"/>
      <w:lang w:val="en-US" w:eastAsia="zh-CN" w:bidi="ar"/>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contractReview xmlns="http://schemas.wps.cn/vas-ai-hub/contract-review">
  <reviewItems>
    <reviewItem>
      <errorID>77652a97-cc62-4c57-a4a1-32b691deeb1a</errorID>
      <errorWord>、等</errorWord>
      <group>L1_Punc</group>
      <groupName>标点问题</groupName>
      <ability>L2_Punc_CN</ability>
      <abilityName>标点符号问题</abilityName>
      <candidateList>
        <item>等</item>
      </candidateList>
      <explain>“及”“和”“等”连词前不宜使用顿号，建议删除（或使用逗号）。</explain>
      <paraID>30F2B314</paraID>
      <start>119</start>
      <end>121</end>
      <status>unmodified</status>
      <modifiedWord/>
      <trackRevisions>false</trackRevisions>
    </reviewItem>
    <reviewItem>
      <errorID>cf3aec20-9225-4f00-a5b9-24f6a41948bc</errorID>
      <errorWord>)</errorWord>
      <group>L1_Format</group>
      <groupName>格式问题</groupName>
      <ability>L2_HalfPunc_CN</ability>
      <abilityName>全半角问题</abilityName>
      <candidateList>
        <item>）</item>
      </candidateList>
      <explain>文本全半角错误。</explain>
      <paraID> 89A1827</paraID>
      <start>215</start>
      <end>216</end>
      <status>unmodified</status>
      <modifiedWord/>
      <trackRevisions>false</trackRevisions>
    </reviewItem>
    <reviewItem>
      <errorID>4c37f84a-45c5-403a-92dc-f65e630cc00f</errorID>
      <errorWord>,</errorWord>
      <group>L1_Format</group>
      <groupName>格式问题</groupName>
      <ability>L2_HalfPunc_CN</ability>
      <abilityName>全半角问题</abilityName>
      <candidateList>
        <item>，</item>
      </candidateList>
      <explain>文本全半角错误。</explain>
      <paraID>117C1BF8</paraID>
      <start>6</start>
      <end>7</end>
      <status>unmodified</status>
      <modifiedWord/>
      <trackRevisions>false</trackRevisions>
    </reviewItem>
    <reviewItem>
      <errorID>7324b4e2-d228-48ae-84bf-3b61ebceddd7</errorID>
      <errorWord>,</errorWord>
      <group>L1_Format</group>
      <groupName>格式问题</groupName>
      <ability>L2_HalfPunc_CN</ability>
      <abilityName>全半角问题</abilityName>
      <candidateList>
        <item>，</item>
      </candidateList>
      <explain>文本全半角错误。</explain>
      <paraID>117C1BF8</paraID>
      <start>10</start>
      <end>11</end>
      <status>unmodified</status>
      <modifiedWord/>
      <trackRevisions>false</trackRevisions>
    </reviewItem>
    <reviewItem>
      <errorID>50781905-1a7e-44ab-958b-926588ca41bb</errorID>
      <errorWord>.</errorWord>
      <group>L1_Format</group>
      <groupName>格式问题</groupName>
      <ability>L2_HalfPunc_CN</ability>
      <abilityName>全半角问题</abilityName>
      <candidateList>
        <item>。</item>
      </candidateList>
      <explain>文本全半角错误。</explain>
      <paraID>117C1BF8</paraID>
      <start>14</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78b3d706-e896-4cbf-bade-2d521844bfc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39687</dc:creator>
  <cp:lastModifiedBy>Resurgam</cp:lastModifiedBy>
  <cp:revision>0</cp:revision>
  <dcterms:created xsi:type="dcterms:W3CDTF">2026-06-27T05:45:08Z</dcterms:created>
  <dcterms:modified xsi:type="dcterms:W3CDTF">2026-06-27T07:39:02Z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ABF6F49A9A2C4541B2BE34F96B7E6915_13</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