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11.0 -->
  <w:body>
    <w:p w14:paraId="0A22B0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88" w:lineRule="auto"/>
        <w:ind w:left="0"/>
        <w:jc w:val="center"/>
        <w:textAlignment w:val="auto"/>
        <w:rPr>
          <w:rFonts w:ascii="宋体" w:eastAsia="宋体" w:hAnsi="宋体" w:cs="宋体" w:hint="eastAsia"/>
          <w:b w:val="0"/>
          <w:bCs/>
          <w:sz w:val="20"/>
          <w:szCs w:val="20"/>
        </w:rPr>
      </w:pPr>
      <w:r>
        <w:rPr>
          <w:rFonts w:ascii="宋体" w:eastAsia="宋体" w:hAnsi="宋体" w:cs="宋体" w:hint="eastAsia"/>
          <w:b w:val="0"/>
          <w:bCs/>
          <w:sz w:val="20"/>
          <w:szCs w:val="20"/>
        </w:rPr>
        <w:t>井下核心机电装备PLC智能管控技术落地实践研究</w:t>
      </w:r>
    </w:p>
    <w:p w14:paraId="6D09C4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88" w:lineRule="auto"/>
        <w:ind w:left="0"/>
        <w:jc w:val="center"/>
        <w:textAlignment w:val="auto"/>
        <w:rPr>
          <w:rFonts w:ascii="宋体" w:eastAsia="宋体" w:hAnsi="宋体" w:cs="宋体" w:hint="eastAsia"/>
          <w:b w:val="0"/>
          <w:bCs/>
          <w:sz w:val="20"/>
          <w:szCs w:val="20"/>
        </w:rPr>
      </w:pPr>
      <w:r>
        <w:rPr>
          <w:rFonts w:ascii="宋体" w:eastAsia="宋体" w:hAnsi="宋体" w:cs="宋体" w:hint="eastAsia"/>
          <w:b w:val="0"/>
          <w:bCs/>
          <w:sz w:val="20"/>
          <w:szCs w:val="20"/>
        </w:rPr>
        <w:t>袁伟民</w:t>
      </w:r>
    </w:p>
    <w:p w14:paraId="17EDD0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88" w:lineRule="auto"/>
        <w:ind w:left="0"/>
        <w:jc w:val="center"/>
        <w:textAlignment w:val="auto"/>
        <w:rPr>
          <w:rFonts w:ascii="宋体" w:eastAsia="宋体" w:hAnsi="宋体" w:cs="宋体" w:hint="eastAsia"/>
          <w:b w:val="0"/>
          <w:bCs/>
          <w:sz w:val="20"/>
          <w:szCs w:val="20"/>
        </w:rPr>
      </w:pPr>
      <w:r>
        <w:rPr>
          <w:rFonts w:ascii="宋体" w:eastAsia="宋体" w:hAnsi="宋体" w:cs="宋体" w:hint="eastAsia"/>
          <w:b w:val="0"/>
          <w:bCs/>
          <w:sz w:val="20"/>
          <w:szCs w:val="20"/>
        </w:rPr>
        <w:t>江西洛市矿业有限公司流舍煤矿，江西宜春331107</w:t>
      </w:r>
    </w:p>
    <w:p w14:paraId="3A3902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88" w:lineRule="auto"/>
        <w:ind w:left="0" w:firstLine="400" w:firstLineChars="200"/>
        <w:jc w:val="left"/>
        <w:textAlignment w:val="auto"/>
        <w:rPr>
          <w:rFonts w:ascii="宋体" w:eastAsia="宋体" w:hAnsi="宋体" w:cs="宋体" w:hint="eastAsia"/>
          <w:b w:val="0"/>
          <w:bCs/>
          <w:sz w:val="20"/>
          <w:szCs w:val="20"/>
        </w:rPr>
      </w:pPr>
    </w:p>
    <w:p w14:paraId="63ADB0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88" w:lineRule="auto"/>
        <w:ind w:left="0" w:firstLine="400" w:firstLineChars="200"/>
        <w:jc w:val="left"/>
        <w:textAlignment w:val="auto"/>
        <w:rPr>
          <w:rFonts w:ascii="宋体" w:eastAsia="宋体" w:hAnsi="宋体" w:cs="宋体" w:hint="eastAsia"/>
          <w:b w:val="0"/>
          <w:bCs/>
          <w:sz w:val="20"/>
          <w:szCs w:val="20"/>
        </w:rPr>
      </w:pPr>
      <w:r>
        <w:rPr>
          <w:rFonts w:ascii="宋体" w:eastAsia="宋体" w:hAnsi="宋体" w:cs="宋体" w:hint="eastAsia"/>
          <w:b w:val="0"/>
          <w:bCs/>
          <w:sz w:val="20"/>
          <w:szCs w:val="20"/>
        </w:rPr>
        <w:t>摘要：</w:t>
      </w:r>
      <w:r>
        <w:rPr>
          <w:rFonts w:ascii="宋体" w:eastAsia="宋体" w:hAnsi="宋体" w:cs="宋体" w:hint="eastAsia"/>
          <w:b w:val="0"/>
          <w:bCs/>
          <w:sz w:val="20"/>
          <w:szCs w:val="20"/>
        </w:rPr>
        <w:t>针对井下传统继电器接触器机电控制系统线路冗余、故障排查困难、控制响应慢、能耗高、无人化管控能力差等现场问题，根据矿井高粉尘、高湿度、强电磁干扰、持续振动的恶劣作业环境，本文以流舍煤矿井下提升、通风、排水、皮带运输四类主要机电设备为研究对象，对PLC智能管控技术进行现场落地改造和应用测试。阐述适合井下工况的PLC硬件选型、系统组网架构和控制程序设计方案，制定不停产分步落地改造施工工艺，优化多设备联动闭锁、故障自诊断、变频节能调速核心控制逻辑。经过现场工业实践可知，本次PLC智能管控系统实施之后，井下主要机电设备整体故障率比原来低了62.3%，综合运行能耗降低了27.6%，设备控制响应时间缩短到5ms以内，排水系统无人值守、通风系统按需供风、提升系统精准制动、运输系统联动保护全覆盖。研究可以给中小型煤矿井下老旧机电设备智能化低成本改造、智能管控系统平稳落地提供完整的工程参考。</w:t>
      </w:r>
    </w:p>
    <w:p w14:paraId="28AF1E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88" w:lineRule="auto"/>
        <w:ind w:left="0" w:firstLine="400" w:firstLineChars="200"/>
        <w:jc w:val="left"/>
        <w:textAlignment w:val="auto"/>
        <w:rPr>
          <w:rFonts w:ascii="宋体" w:eastAsia="宋体" w:hAnsi="宋体" w:cs="宋体" w:hint="eastAsia"/>
          <w:b w:val="0"/>
          <w:bCs/>
          <w:sz w:val="20"/>
          <w:szCs w:val="20"/>
        </w:rPr>
      </w:pPr>
      <w:r>
        <w:rPr>
          <w:rFonts w:ascii="宋体" w:eastAsia="宋体" w:hAnsi="宋体" w:cs="宋体" w:hint="eastAsia"/>
          <w:b w:val="0"/>
          <w:bCs/>
          <w:sz w:val="20"/>
          <w:szCs w:val="20"/>
        </w:rPr>
        <w:t>关键词：</w:t>
      </w:r>
      <w:r>
        <w:rPr>
          <w:rFonts w:ascii="宋体" w:eastAsia="宋体" w:hAnsi="宋体" w:cs="宋体" w:hint="eastAsia"/>
          <w:b w:val="0"/>
          <w:bCs/>
          <w:sz w:val="20"/>
          <w:szCs w:val="20"/>
        </w:rPr>
        <w:t>PLC；井下机电装备；智能管控；分步改造；联动控制；无人值守</w:t>
      </w:r>
    </w:p>
    <w:p w14:paraId="3B52C8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88" w:lineRule="auto"/>
        <w:ind w:left="0" w:firstLine="400" w:firstLineChars="200"/>
        <w:jc w:val="left"/>
        <w:textAlignment w:val="auto"/>
        <w:rPr>
          <w:rFonts w:ascii="宋体" w:eastAsia="宋体" w:hAnsi="宋体" w:cs="宋体" w:hint="eastAsia"/>
          <w:b w:val="0"/>
          <w:bCs/>
          <w:sz w:val="20"/>
          <w:szCs w:val="20"/>
        </w:rPr>
      </w:pPr>
      <w:r>
        <w:rPr>
          <w:rFonts w:ascii="宋体" w:eastAsia="宋体" w:hAnsi="宋体" w:cs="宋体" w:hint="eastAsia"/>
          <w:b w:val="0"/>
          <w:bCs/>
          <w:sz w:val="20"/>
          <w:szCs w:val="20"/>
        </w:rPr>
        <w:t>中图分类号：</w:t>
      </w:r>
      <w:r>
        <w:rPr>
          <w:rFonts w:ascii="宋体" w:eastAsia="宋体" w:hAnsi="宋体" w:cs="宋体" w:hint="eastAsia"/>
          <w:b w:val="0"/>
          <w:bCs/>
          <w:sz w:val="20"/>
          <w:szCs w:val="20"/>
        </w:rPr>
        <w:t>TD60</w:t>
      </w:r>
    </w:p>
    <w:p w14:paraId="67B90F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88" w:lineRule="auto"/>
        <w:ind w:left="0" w:firstLine="400" w:firstLineChars="200"/>
        <w:jc w:val="left"/>
        <w:textAlignment w:val="auto"/>
        <w:outlineLvl w:val="0"/>
        <w:rPr>
          <w:rFonts w:ascii="宋体" w:eastAsia="宋体" w:hAnsi="宋体" w:cs="宋体" w:hint="eastAsia"/>
          <w:b w:val="0"/>
          <w:bCs/>
          <w:sz w:val="20"/>
          <w:szCs w:val="20"/>
        </w:rPr>
      </w:pPr>
      <w:bookmarkStart w:id="0" w:name="heading_0"/>
      <w:r>
        <w:rPr>
          <w:rFonts w:ascii="宋体" w:eastAsia="宋体" w:hAnsi="宋体" w:cs="宋体" w:hint="eastAsia"/>
          <w:b w:val="0"/>
          <w:bCs/>
          <w:sz w:val="20"/>
          <w:szCs w:val="20"/>
        </w:rPr>
        <w:t>0引言</w:t>
      </w:r>
      <w:bookmarkEnd w:id="0"/>
    </w:p>
    <w:p w14:paraId="44685D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88" w:lineRule="auto"/>
        <w:ind w:left="0" w:firstLine="400" w:firstLineChars="200"/>
        <w:jc w:val="left"/>
        <w:textAlignment w:val="auto"/>
        <w:outlineLvl w:val="0"/>
        <w:rPr>
          <w:rFonts w:ascii="宋体" w:eastAsia="宋体" w:hAnsi="宋体" w:cs="宋体" w:hint="eastAsia"/>
          <w:b w:val="0"/>
          <w:bCs/>
          <w:sz w:val="20"/>
          <w:szCs w:val="20"/>
        </w:rPr>
      </w:pPr>
      <w:bookmarkStart w:id="1" w:name="heading_1"/>
      <w:r>
        <w:rPr>
          <w:rFonts w:ascii="宋体" w:eastAsia="宋体" w:hAnsi="宋体" w:cs="宋体" w:hint="eastAsia"/>
          <w:b w:val="0"/>
          <w:bCs/>
          <w:sz w:val="20"/>
          <w:szCs w:val="20"/>
        </w:rPr>
        <w:t>目前煤矿智能化改造不断推进，井下提升、通风、排水、运输等主要机电设备的传统继电控制线路繁杂、故障率高、调控精度低，不能满足矿井安全、节能、无人值守生产的要求。PLC具有较强的抗干扰能力、可编程性以及实时控制的特点，是老旧机电设备升级改造的主要载体。根据流舍煤矿井下高粉尘、强振动、电磁干扰大的工况，本文对PLC智能管控技术进行落地实践研究，设计分层硬件架构和分设备专用控制逻辑，制定不停产分步改造方案，通过现场实测验证系统降故障、降耗增效效果，为同类矿井机电智能化技改提供工程参考。</w:t>
      </w:r>
      <w:bookmarkStart w:id="2" w:name="_GoBack"/>
      <w:bookmarkEnd w:id="2"/>
    </w:p>
    <w:p w14:paraId="007DDE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88" w:lineRule="auto"/>
        <w:ind w:left="0"/>
        <w:jc w:val="left"/>
        <w:textAlignment w:val="auto"/>
        <w:outlineLvl w:val="0"/>
        <w:rPr>
          <w:rFonts w:ascii="宋体" w:eastAsia="宋体" w:hAnsi="宋体" w:cs="宋体" w:hint="eastAsia"/>
          <w:b w:val="0"/>
          <w:bCs/>
          <w:sz w:val="20"/>
          <w:szCs w:val="20"/>
        </w:rPr>
      </w:pPr>
      <w:r>
        <w:rPr>
          <w:rFonts w:ascii="宋体" w:eastAsia="宋体" w:hAnsi="宋体" w:cs="宋体" w:hint="eastAsia"/>
          <w:b w:val="0"/>
          <w:bCs/>
          <w:sz w:val="20"/>
          <w:szCs w:val="20"/>
        </w:rPr>
        <w:t>1井下工况适配型PLC智能管控系统总体设计</w:t>
      </w:r>
      <w:bookmarkEnd w:id="1"/>
    </w:p>
    <w:p w14:paraId="150890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88" w:lineRule="auto"/>
        <w:ind w:left="0"/>
        <w:jc w:val="left"/>
        <w:textAlignment w:val="auto"/>
        <w:outlineLvl w:val="1"/>
        <w:rPr>
          <w:rFonts w:ascii="宋体" w:eastAsia="宋体" w:hAnsi="宋体" w:cs="宋体" w:hint="eastAsia"/>
          <w:b w:val="0"/>
          <w:bCs/>
          <w:sz w:val="20"/>
          <w:szCs w:val="20"/>
        </w:rPr>
      </w:pPr>
      <w:bookmarkStart w:id="3" w:name="heading_2"/>
      <w:r>
        <w:rPr>
          <w:rFonts w:ascii="宋体" w:eastAsia="宋体" w:hAnsi="宋体" w:cs="宋体" w:hint="eastAsia"/>
          <w:b w:val="0"/>
          <w:bCs/>
          <w:sz w:val="20"/>
          <w:szCs w:val="20"/>
        </w:rPr>
        <w:t>1.1矿井现场工况分析</w:t>
      </w:r>
      <w:bookmarkEnd w:id="3"/>
    </w:p>
    <w:p w14:paraId="54733D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88" w:lineRule="auto"/>
        <w:ind w:left="0" w:firstLine="400" w:firstLineChars="200"/>
        <w:jc w:val="left"/>
        <w:textAlignment w:val="auto"/>
        <w:rPr>
          <w:rFonts w:ascii="宋体" w:eastAsia="宋体" w:hAnsi="宋体" w:cs="宋体" w:hint="eastAsia"/>
          <w:b w:val="0"/>
          <w:bCs/>
          <w:sz w:val="20"/>
          <w:szCs w:val="20"/>
        </w:rPr>
      </w:pPr>
      <w:r>
        <w:rPr>
          <w:rFonts w:ascii="宋体" w:eastAsia="宋体" w:hAnsi="宋体" w:cs="宋体" w:hint="eastAsia"/>
          <w:b w:val="0"/>
          <w:bCs/>
          <w:sz w:val="20"/>
          <w:szCs w:val="20"/>
        </w:rPr>
        <w:t>流舍煤矿井下作业环境复杂，现场存在三个影响电控系统稳定运行的因素，即环境干扰、机械干扰、电磁干扰。井下空气湿度最高达到95%，粉尘浓度大，容易引起电控柜内部元器件短路、积灰老化；采掘、运输设备不断运转，产生10～55Hz的持续性振动，容易造成接线端子松动、线路接触不良；井下大功率电机、变频器密集布置，强电磁辐射容易引起弱电信号漂移、控制指令误触发。因此本次落地改造所用的PLC控制系统必须具备光电隔离、电磁屏蔽、浪涌保护、全封闭防尘防护的能力，不能使用民用和普通工控非标控制器。</w:t>
      </w:r>
    </w:p>
    <w:p w14:paraId="461D8C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88" w:lineRule="auto"/>
        <w:ind w:left="0"/>
        <w:jc w:val="left"/>
        <w:textAlignment w:val="auto"/>
        <w:outlineLvl w:val="1"/>
        <w:rPr>
          <w:rFonts w:ascii="宋体" w:eastAsia="宋体" w:hAnsi="宋体" w:cs="宋体" w:hint="eastAsia"/>
          <w:b w:val="0"/>
          <w:bCs/>
          <w:sz w:val="20"/>
          <w:szCs w:val="20"/>
        </w:rPr>
      </w:pPr>
      <w:bookmarkStart w:id="4" w:name="heading_3"/>
      <w:r>
        <w:rPr>
          <w:rFonts w:ascii="宋体" w:eastAsia="宋体" w:hAnsi="宋体" w:cs="宋体" w:hint="eastAsia"/>
          <w:b w:val="0"/>
          <w:bCs/>
          <w:sz w:val="20"/>
          <w:szCs w:val="20"/>
        </w:rPr>
        <w:t>1.2 PLC硬件选型与系统架构搭建</w:t>
      </w:r>
      <w:bookmarkEnd w:id="4"/>
    </w:p>
    <w:p w14:paraId="105E5C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88" w:lineRule="auto"/>
        <w:ind w:left="0" w:firstLine="400" w:firstLineChars="200"/>
        <w:jc w:val="left"/>
        <w:textAlignment w:val="auto"/>
        <w:rPr>
          <w:rFonts w:ascii="宋体" w:eastAsia="宋体" w:hAnsi="宋体" w:cs="宋体" w:hint="eastAsia"/>
          <w:b w:val="0"/>
          <w:bCs/>
          <w:sz w:val="20"/>
          <w:szCs w:val="20"/>
        </w:rPr>
      </w:pPr>
      <w:r>
        <w:rPr>
          <w:rFonts w:ascii="宋体" w:eastAsia="宋体" w:hAnsi="宋体" w:cs="宋体" w:hint="eastAsia"/>
          <w:b w:val="0"/>
          <w:bCs/>
          <w:sz w:val="20"/>
          <w:szCs w:val="20"/>
        </w:rPr>
        <w:t>根据井下四个机电装备控制点的数量、控制精度和防护要求，采用现场PLC分站、工业以太网总线和地面上位机监控平台三层管控结构，硬件分层选型如下所示。</w:t>
      </w:r>
    </w:p>
    <w:p w14:paraId="697D18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88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/>
          <w:sz w:val="20"/>
          <w:szCs w:val="20"/>
        </w:rPr>
      </w:pPr>
      <w:r>
        <w:rPr>
          <w:rFonts w:ascii="宋体" w:eastAsia="宋体" w:hAnsi="宋体" w:cs="宋体" w:hint="eastAsia"/>
          <w:b w:val="0"/>
          <w:bCs/>
          <w:sz w:val="20"/>
          <w:szCs w:val="20"/>
        </w:rPr>
        <w:t>（1）核心控制器：</w:t>
      </w:r>
      <w:r>
        <w:rPr>
          <w:rFonts w:ascii="宋体" w:eastAsia="宋体" w:hAnsi="宋体" w:cs="宋体" w:hint="eastAsia"/>
          <w:b w:val="0"/>
          <w:bCs/>
          <w:sz w:val="20"/>
          <w:szCs w:val="20"/>
        </w:rPr>
        <w:t>主井提升机、主通风机等重要大功率设备采用西门子S7-300中型PLC，可以满足复杂的闭环调速、多重安全联锁逻辑运算的要求，排水泵、皮带输送机等辅助设备使用西门子S7-200 SMART小型PLC，控制成本的同时满足基础启停、保护、联动控制的需求；</w:t>
      </w:r>
    </w:p>
    <w:p w14:paraId="3A679F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88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/>
          <w:sz w:val="20"/>
          <w:szCs w:val="20"/>
        </w:rPr>
      </w:pPr>
      <w:r>
        <w:rPr>
          <w:rFonts w:ascii="宋体" w:eastAsia="宋体" w:hAnsi="宋体" w:cs="宋体" w:hint="eastAsia"/>
          <w:b w:val="0"/>
          <w:bCs/>
          <w:sz w:val="20"/>
          <w:szCs w:val="20"/>
        </w:rPr>
        <w:t>（2）信号采集模块：</w:t>
      </w:r>
      <w:r>
        <w:rPr>
          <w:rFonts w:ascii="宋体" w:eastAsia="宋体" w:hAnsi="宋体" w:cs="宋体" w:hint="eastAsia"/>
          <w:b w:val="0"/>
          <w:bCs/>
          <w:sz w:val="20"/>
          <w:szCs w:val="20"/>
        </w:rPr>
        <w:t>配套模拟量输入模块对接瓦斯、液位、风速、温度等模拟传感器，数字量模块对接跑偏、限位、急停等开关量传感器，所有输入输出端口加装光电隔离模块；</w:t>
      </w:r>
    </w:p>
    <w:p w14:paraId="58601C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88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/>
          <w:sz w:val="20"/>
          <w:szCs w:val="20"/>
        </w:rPr>
      </w:pPr>
      <w:r>
        <w:rPr>
          <w:rFonts w:ascii="宋体" w:eastAsia="宋体" w:hAnsi="宋体" w:cs="宋体" w:hint="eastAsia"/>
          <w:b w:val="0"/>
          <w:bCs/>
          <w:sz w:val="20"/>
          <w:szCs w:val="20"/>
        </w:rPr>
        <w:t>（3）通信组网：</w:t>
      </w:r>
      <w:r>
        <w:rPr>
          <w:rFonts w:ascii="宋体" w:eastAsia="宋体" w:hAnsi="宋体" w:cs="宋体" w:hint="eastAsia"/>
          <w:b w:val="0"/>
          <w:bCs/>
          <w:sz w:val="20"/>
          <w:szCs w:val="20"/>
        </w:rPr>
        <w:t>采用Profibus现场总线实现井下各个PLC分站之间的互联，用工业以太网将现场运行数据、故障代码、设备参数传送到地面SCADA监控平台上，可以远程修改参数、远程手动干预、历史数据溯源；</w:t>
      </w:r>
    </w:p>
    <w:p w14:paraId="7795FF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88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/>
          <w:sz w:val="20"/>
          <w:szCs w:val="20"/>
        </w:rPr>
      </w:pPr>
      <w:r>
        <w:rPr>
          <w:rFonts w:ascii="宋体" w:eastAsia="宋体" w:hAnsi="宋体" w:cs="宋体" w:hint="eastAsia"/>
          <w:b w:val="0"/>
          <w:bCs/>
          <w:sz w:val="20"/>
          <w:szCs w:val="20"/>
        </w:rPr>
        <w:t>（4）备用冗余硬件：</w:t>
      </w:r>
      <w:r>
        <w:rPr>
          <w:rFonts w:ascii="宋体" w:eastAsia="宋体" w:hAnsi="宋体" w:cs="宋体" w:hint="eastAsia"/>
          <w:b w:val="0"/>
          <w:bCs/>
          <w:sz w:val="20"/>
          <w:szCs w:val="20"/>
        </w:rPr>
        <w:t>每套PLC控制系统都保留了原来的继电控制回路，设置了手动/自动双向切换开关，PLC控制系统出现故障时可以一键切换到原来的控制回路，完全消除改造和设备运行期间的停机风险。</w:t>
      </w:r>
    </w:p>
    <w:p w14:paraId="0F97A1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88" w:lineRule="auto"/>
        <w:ind w:left="0"/>
        <w:jc w:val="left"/>
        <w:textAlignment w:val="auto"/>
        <w:outlineLvl w:val="1"/>
        <w:rPr>
          <w:rFonts w:ascii="宋体" w:eastAsia="宋体" w:hAnsi="宋体" w:cs="宋体" w:hint="eastAsia"/>
          <w:b w:val="0"/>
          <w:bCs/>
          <w:sz w:val="20"/>
          <w:szCs w:val="20"/>
        </w:rPr>
      </w:pPr>
      <w:bookmarkStart w:id="5" w:name="heading_4"/>
      <w:r>
        <w:rPr>
          <w:rFonts w:ascii="宋体" w:eastAsia="宋体" w:hAnsi="宋体" w:cs="宋体" w:hint="eastAsia"/>
          <w:b w:val="0"/>
          <w:bCs/>
          <w:sz w:val="20"/>
          <w:szCs w:val="20"/>
        </w:rPr>
        <w:t>1.3 PLC基础工作流程适配优化</w:t>
      </w:r>
      <w:bookmarkEnd w:id="5"/>
    </w:p>
    <w:p w14:paraId="32E5A5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88" w:lineRule="auto"/>
        <w:ind w:left="0" w:firstLine="400" w:firstLineChars="200"/>
        <w:jc w:val="left"/>
        <w:textAlignment w:val="auto"/>
        <w:rPr>
          <w:rFonts w:ascii="宋体" w:eastAsia="宋体" w:hAnsi="宋体" w:cs="宋体" w:hint="eastAsia"/>
          <w:b w:val="0"/>
          <w:bCs/>
          <w:sz w:val="20"/>
          <w:szCs w:val="20"/>
        </w:rPr>
      </w:pPr>
      <w:r>
        <w:rPr>
          <w:rFonts w:ascii="宋体" w:eastAsia="宋体" w:hAnsi="宋体" w:cs="宋体" w:hint="eastAsia"/>
          <w:b w:val="0"/>
          <w:bCs/>
          <w:sz w:val="20"/>
          <w:szCs w:val="20"/>
        </w:rPr>
        <w:t>标准PLC输入采样、程序执行、输出刷新三轮循环工作方式，为满足井下设备突发故障紧急停机的安全需求，在本次程序设计中加入中断响应子程序。当急停信号、皮带撕裂、提升机过卷等高危故障信号进入之后，立刻跳出常规循环程序，先执行停机闭锁指令，把高危故障响应时间缩短到2ms以内，克服标准PLC循环扫描模式下紧急动作滞后的问题，符合煤矿本质安全控制的要求。</w:t>
      </w:r>
    </w:p>
    <w:p w14:paraId="3230BF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88" w:lineRule="auto"/>
        <w:ind w:left="0"/>
        <w:jc w:val="left"/>
        <w:textAlignment w:val="auto"/>
        <w:outlineLvl w:val="0"/>
        <w:rPr>
          <w:rFonts w:ascii="宋体" w:eastAsia="宋体" w:hAnsi="宋体" w:cs="宋体" w:hint="eastAsia"/>
          <w:b w:val="0"/>
          <w:bCs/>
          <w:sz w:val="20"/>
          <w:szCs w:val="20"/>
        </w:rPr>
      </w:pPr>
      <w:bookmarkStart w:id="6" w:name="heading_5"/>
      <w:r>
        <w:rPr>
          <w:rFonts w:ascii="宋体" w:eastAsia="宋体" w:hAnsi="宋体" w:cs="宋体" w:hint="eastAsia"/>
          <w:b w:val="0"/>
          <w:bCs/>
          <w:sz w:val="20"/>
          <w:szCs w:val="20"/>
        </w:rPr>
        <w:t>2井下四大核心机电装备PLC智能管控落地应用方案</w:t>
      </w:r>
      <w:bookmarkEnd w:id="6"/>
    </w:p>
    <w:p w14:paraId="44173D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88" w:lineRule="auto"/>
        <w:ind w:left="0"/>
        <w:jc w:val="left"/>
        <w:textAlignment w:val="auto"/>
        <w:outlineLvl w:val="1"/>
        <w:rPr>
          <w:rFonts w:ascii="宋体" w:eastAsia="宋体" w:hAnsi="宋体" w:cs="宋体" w:hint="eastAsia"/>
          <w:b w:val="0"/>
          <w:bCs/>
          <w:sz w:val="20"/>
          <w:szCs w:val="20"/>
        </w:rPr>
      </w:pPr>
      <w:bookmarkStart w:id="7" w:name="heading_6"/>
      <w:r>
        <w:rPr>
          <w:rFonts w:ascii="宋体" w:eastAsia="宋体" w:hAnsi="宋体" w:cs="宋体" w:hint="eastAsia"/>
          <w:b w:val="0"/>
          <w:bCs/>
          <w:sz w:val="20"/>
          <w:szCs w:val="20"/>
        </w:rPr>
        <w:t>2.1提升机精准安全管控落地设计</w:t>
      </w:r>
      <w:bookmarkEnd w:id="7"/>
    </w:p>
    <w:p w14:paraId="35D885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88" w:lineRule="auto"/>
        <w:ind w:left="0" w:firstLine="400" w:firstLineChars="200"/>
        <w:jc w:val="left"/>
        <w:textAlignment w:val="auto"/>
        <w:rPr>
          <w:rFonts w:ascii="宋体" w:eastAsia="宋体" w:hAnsi="宋体" w:cs="宋体" w:hint="eastAsia"/>
          <w:b w:val="0"/>
          <w:bCs/>
          <w:sz w:val="20"/>
          <w:szCs w:val="20"/>
        </w:rPr>
      </w:pPr>
      <w:r>
        <w:rPr>
          <w:rFonts w:ascii="宋体" w:eastAsia="宋体" w:hAnsi="宋体" w:cs="宋体" w:hint="eastAsia"/>
          <w:b w:val="0"/>
          <w:bCs/>
          <w:sz w:val="20"/>
          <w:szCs w:val="20"/>
        </w:rPr>
        <w:t>矿井提升机担负井下人员和物料的升降任务，是属于一级安全关键设备，控制的主要要求就是调速平滑、位置准确、多重安全闭锁。本次改造在提升机系统上增加旋转编码器、重力称重传感器、温度传感器、井筒限位传感器，所有的信号都接到PLC主控制器上。PLC对容器位置、运行速度、负载重量、电机轴承温度进行实时采集，并通过内置的PID闭环调节程序与变频器联动，从而达到提升机软启动、匀速运行、无冲击精准平层停车的目的。</w:t>
      </w:r>
    </w:p>
    <w:p w14:paraId="230B67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88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/>
          <w:sz w:val="20"/>
          <w:szCs w:val="20"/>
        </w:rPr>
      </w:pPr>
      <w:r>
        <w:rPr>
          <w:rFonts w:ascii="宋体" w:eastAsia="宋体" w:hAnsi="宋体" w:cs="宋体" w:hint="eastAsia"/>
          <w:b w:val="0"/>
          <w:bCs/>
          <w:sz w:val="20"/>
          <w:szCs w:val="20"/>
        </w:rPr>
        <w:t>同时设置了三级安全保护逻辑，一级过载保护，负载超过额定值110%立即断电抱闸，二级过卷保护，触碰到上下限位开关立即紧急闭锁，三级故障联动保护，电机超温、制动系统异常时同时闭锁井筒安全门并上传报警信息。改造之后，提升机停车控制误差由原来的±5.0%降到±0.5%，彻底消除溜车、过卷等安全隐患。</w:t>
      </w:r>
    </w:p>
    <w:p w14:paraId="6CC763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88" w:lineRule="auto"/>
        <w:ind w:left="0"/>
        <w:jc w:val="left"/>
        <w:textAlignment w:val="auto"/>
        <w:outlineLvl w:val="1"/>
        <w:rPr>
          <w:rFonts w:ascii="宋体" w:eastAsia="宋体" w:hAnsi="宋体" w:cs="宋体" w:hint="eastAsia"/>
          <w:b w:val="0"/>
          <w:bCs/>
          <w:sz w:val="20"/>
          <w:szCs w:val="20"/>
        </w:rPr>
      </w:pPr>
      <w:bookmarkStart w:id="8" w:name="heading_7"/>
      <w:r>
        <w:rPr>
          <w:rFonts w:ascii="宋体" w:eastAsia="宋体" w:hAnsi="宋体" w:cs="宋体" w:hint="eastAsia"/>
          <w:b w:val="0"/>
          <w:bCs/>
          <w:sz w:val="20"/>
          <w:szCs w:val="20"/>
        </w:rPr>
        <w:t>2.2通风机按需联动通风管控落地设计</w:t>
      </w:r>
      <w:bookmarkEnd w:id="8"/>
    </w:p>
    <w:p w14:paraId="0C2B40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88" w:lineRule="auto"/>
        <w:ind w:left="0" w:firstLine="400" w:firstLineChars="200"/>
        <w:jc w:val="left"/>
        <w:textAlignment w:val="auto"/>
        <w:rPr>
          <w:rFonts w:ascii="宋体" w:eastAsia="宋体" w:hAnsi="宋体" w:cs="宋体" w:hint="eastAsia"/>
          <w:b w:val="0"/>
          <w:bCs/>
          <w:sz w:val="20"/>
          <w:szCs w:val="20"/>
        </w:rPr>
      </w:pPr>
      <w:r>
        <w:rPr>
          <w:rFonts w:ascii="宋体" w:eastAsia="宋体" w:hAnsi="宋体" w:cs="宋体" w:hint="eastAsia"/>
          <w:b w:val="0"/>
          <w:bCs/>
          <w:sz w:val="20"/>
          <w:szCs w:val="20"/>
        </w:rPr>
        <w:t>传统的通风机一直处在工频全速运行的状态，造成大量的无效能耗，并且不能根据井下有害气体浓度的变化来调节风量。本次PLC控制系统的接入瓦斯、一氧化碳、温度湿度、风速四个环境传感器，分三级通风控制逻辑，常态工况下保持低速节能运行，瓦斯浓度达到0.8%自动升频增大风量，瓦斯浓度达到1.0%或者一氧化碳浓度超过50ppm，风机全速运转并发出声光报警。</w:t>
      </w:r>
    </w:p>
    <w:p w14:paraId="24511B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88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/>
          <w:sz w:val="20"/>
          <w:szCs w:val="20"/>
        </w:rPr>
      </w:pPr>
      <w:r>
        <w:rPr>
          <w:rFonts w:ascii="宋体" w:eastAsia="宋体" w:hAnsi="宋体" w:cs="宋体" w:hint="eastAsia"/>
          <w:b w:val="0"/>
          <w:bCs/>
          <w:sz w:val="20"/>
          <w:szCs w:val="20"/>
        </w:rPr>
        <w:t>系统自带风机冗余切换程序，主通风机出现缺相、过载、轴承过热故障时，PLC能在1s内切断主回路电源，无缝切换到备用通风机，达到井下通风零中断的目的。相比传统的依靠人工来调节的模式来说，按需通风模式能削减通风系统的空载能耗达28%，并且可以防止井下有毒气体的聚集。</w:t>
      </w:r>
    </w:p>
    <w:p w14:paraId="412983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88" w:lineRule="auto"/>
        <w:ind w:left="0"/>
        <w:jc w:val="left"/>
        <w:textAlignment w:val="auto"/>
        <w:outlineLvl w:val="1"/>
        <w:rPr>
          <w:rFonts w:ascii="宋体" w:eastAsia="宋体" w:hAnsi="宋体" w:cs="宋体" w:hint="eastAsia"/>
          <w:b w:val="0"/>
          <w:bCs/>
          <w:sz w:val="20"/>
          <w:szCs w:val="20"/>
        </w:rPr>
      </w:pPr>
      <w:bookmarkStart w:id="9" w:name="heading_8"/>
      <w:r>
        <w:rPr>
          <w:rFonts w:ascii="宋体" w:eastAsia="宋体" w:hAnsi="宋体" w:cs="宋体" w:hint="eastAsia"/>
          <w:b w:val="0"/>
          <w:bCs/>
          <w:sz w:val="20"/>
          <w:szCs w:val="20"/>
        </w:rPr>
        <w:t>2.3排水系统全自动无人值守管控落地设计</w:t>
      </w:r>
      <w:bookmarkEnd w:id="9"/>
    </w:p>
    <w:p w14:paraId="5ADDD6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88" w:lineRule="auto"/>
        <w:ind w:left="0" w:firstLine="400" w:firstLineChars="200"/>
        <w:jc w:val="left"/>
        <w:textAlignment w:val="auto"/>
        <w:rPr>
          <w:rFonts w:ascii="宋体" w:eastAsia="宋体" w:hAnsi="宋体" w:cs="宋体" w:hint="eastAsia"/>
          <w:b w:val="0"/>
          <w:bCs/>
          <w:sz w:val="20"/>
          <w:szCs w:val="20"/>
        </w:rPr>
      </w:pPr>
      <w:r>
        <w:rPr>
          <w:rFonts w:ascii="宋体" w:eastAsia="宋体" w:hAnsi="宋体" w:cs="宋体" w:hint="eastAsia"/>
          <w:b w:val="0"/>
          <w:bCs/>
          <w:sz w:val="20"/>
          <w:szCs w:val="20"/>
        </w:rPr>
        <w:t>井下涌水具有突发性特点，人工值守排水存在响应不及时、水泵空转能耗大、夜班值守安全风险高等问题。根据PLC设计水位分段自动启停逻辑，当水仓水位达到总容积的80%时启动1#主排水泵，水位达到总容积的90%时启动2#备用排水泵，水位下降到20%的安全水位时依次关闭水泵，避免水泵空转造成能量浪费。</w:t>
      </w:r>
    </w:p>
    <w:p w14:paraId="3309B3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88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/>
          <w:sz w:val="20"/>
          <w:szCs w:val="20"/>
        </w:rPr>
      </w:pPr>
      <w:r>
        <w:rPr>
          <w:rFonts w:ascii="宋体" w:eastAsia="宋体" w:hAnsi="宋体" w:cs="宋体" w:hint="eastAsia"/>
          <w:b w:val="0"/>
          <w:bCs/>
          <w:sz w:val="20"/>
          <w:szCs w:val="20"/>
        </w:rPr>
        <w:t>同步监测水泵电流、出口压力、管路流量等参数，自动识别水泵堵塞、漏电、轴承故障并自动切换备用机组；暴雨突水工况下一键启动应急排水模式，全部水泵全速运行。本系统实现井下排水24小时无人值守，排水故障响应时间小于1s，完全消除淹井事故，减少井下专职排水岗位人工投入。</w:t>
      </w:r>
    </w:p>
    <w:p w14:paraId="73F3A2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88" w:lineRule="auto"/>
        <w:ind w:left="0"/>
        <w:jc w:val="left"/>
        <w:textAlignment w:val="auto"/>
        <w:outlineLvl w:val="1"/>
        <w:rPr>
          <w:rFonts w:ascii="宋体" w:eastAsia="宋体" w:hAnsi="宋体" w:cs="宋体" w:hint="eastAsia"/>
          <w:b w:val="0"/>
          <w:bCs/>
          <w:sz w:val="20"/>
          <w:szCs w:val="20"/>
        </w:rPr>
      </w:pPr>
      <w:bookmarkStart w:id="10" w:name="heading_9"/>
      <w:r>
        <w:rPr>
          <w:rFonts w:ascii="宋体" w:eastAsia="宋体" w:hAnsi="宋体" w:cs="宋体" w:hint="eastAsia"/>
          <w:b w:val="0"/>
          <w:bCs/>
          <w:sz w:val="20"/>
          <w:szCs w:val="20"/>
        </w:rPr>
        <w:t>2.4皮带运输系统集中联锁保护管控落地设计</w:t>
      </w:r>
      <w:bookmarkEnd w:id="10"/>
    </w:p>
    <w:p w14:paraId="03D919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88" w:lineRule="auto"/>
        <w:ind w:left="0" w:firstLine="400" w:firstLineChars="200"/>
        <w:jc w:val="left"/>
        <w:textAlignment w:val="auto"/>
        <w:rPr>
          <w:rFonts w:ascii="宋体" w:eastAsia="宋体" w:hAnsi="宋体" w:cs="宋体" w:hint="eastAsia"/>
          <w:b w:val="0"/>
          <w:bCs/>
          <w:sz w:val="20"/>
          <w:szCs w:val="20"/>
        </w:rPr>
      </w:pPr>
      <w:r>
        <w:rPr>
          <w:rFonts w:ascii="宋体" w:eastAsia="宋体" w:hAnsi="宋体" w:cs="宋体" w:hint="eastAsia"/>
          <w:b w:val="0"/>
          <w:bCs/>
          <w:sz w:val="20"/>
          <w:szCs w:val="20"/>
        </w:rPr>
        <w:t>井下皮带运输线路长、单机数量多，传统的多电机同时启动容易造成电网冲击，单个皮带故障很容易导致全线设备连续损坏。利用PLC实现皮带顺煤流延时启动、逆煤流紧急停机联动逻辑，尾部皮带→中部皮带→头部皮带依次延时启动，抑制启动大电流冲击。</w:t>
      </w:r>
    </w:p>
    <w:p w14:paraId="76AAF1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88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/>
          <w:sz w:val="20"/>
          <w:szCs w:val="20"/>
        </w:rPr>
      </w:pPr>
      <w:r>
        <w:rPr>
          <w:rFonts w:ascii="宋体" w:eastAsia="宋体" w:hAnsi="宋体" w:cs="宋体" w:hint="eastAsia"/>
          <w:b w:val="0"/>
          <w:bCs/>
          <w:sz w:val="20"/>
          <w:szCs w:val="20"/>
        </w:rPr>
        <w:t>沿皮带全线布置跑偏、打滑、纵向撕裂、烟雾传感器，任意一个点位出现故障，PLC马上执行分段停机动作，防止故障扩大。同时根据皮带运载物料量的变化来调节运行速度，空载时低速节能，重载时高速保效率。经过改造后的皮带运输系统设备利用率由原来的92.3%提高到现在的95.4%，设备日常维护工作量减少了51%，有效地保证了井下连续运输作业。</w:t>
      </w:r>
    </w:p>
    <w:p w14:paraId="7435EE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88" w:lineRule="auto"/>
        <w:ind w:left="0"/>
        <w:jc w:val="left"/>
        <w:textAlignment w:val="auto"/>
        <w:outlineLvl w:val="0"/>
        <w:rPr>
          <w:rFonts w:ascii="宋体" w:eastAsia="宋体" w:hAnsi="宋体" w:cs="宋体" w:hint="eastAsia"/>
          <w:b w:val="0"/>
          <w:bCs/>
          <w:sz w:val="20"/>
          <w:szCs w:val="20"/>
        </w:rPr>
      </w:pPr>
      <w:bookmarkStart w:id="11" w:name="heading_10"/>
      <w:r>
        <w:rPr>
          <w:rFonts w:ascii="宋体" w:eastAsia="宋体" w:hAnsi="宋体" w:cs="宋体" w:hint="eastAsia"/>
          <w:b w:val="0"/>
          <w:bCs/>
          <w:sz w:val="20"/>
          <w:szCs w:val="20"/>
        </w:rPr>
        <w:t>3 PLC智能管控系统现场落地关键优化措施</w:t>
      </w:r>
      <w:bookmarkEnd w:id="11"/>
    </w:p>
    <w:p w14:paraId="154F57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88" w:lineRule="auto"/>
        <w:ind w:left="0"/>
        <w:jc w:val="left"/>
        <w:textAlignment w:val="auto"/>
        <w:outlineLvl w:val="0"/>
        <w:rPr>
          <w:rFonts w:ascii="宋体" w:eastAsia="宋体" w:hAnsi="宋体" w:cs="宋体" w:hint="eastAsia"/>
          <w:b w:val="0"/>
          <w:bCs/>
          <w:sz w:val="20"/>
          <w:szCs w:val="20"/>
        </w:rPr>
      </w:pPr>
      <w:bookmarkStart w:id="12" w:name="heading_14"/>
      <w:r>
        <w:rPr>
          <w:rFonts w:ascii="宋体" w:eastAsia="宋体" w:hAnsi="宋体" w:cs="宋体" w:hint="eastAsia"/>
          <w:b w:val="0"/>
          <w:bCs/>
          <w:sz w:val="20"/>
          <w:szCs w:val="20"/>
        </w:rPr>
        <w:t>3.1不停产分步落地施工工艺优化</w:t>
      </w:r>
    </w:p>
    <w:p w14:paraId="6EF9C8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88" w:lineRule="auto"/>
        <w:ind w:left="0" w:firstLine="400" w:firstLineChars="200"/>
        <w:jc w:val="left"/>
        <w:textAlignment w:val="auto"/>
        <w:outlineLvl w:val="0"/>
        <w:rPr>
          <w:rFonts w:ascii="宋体" w:eastAsia="宋体" w:hAnsi="宋体" w:cs="宋体" w:hint="eastAsia"/>
          <w:b w:val="0"/>
          <w:bCs/>
          <w:sz w:val="20"/>
          <w:szCs w:val="20"/>
        </w:rPr>
      </w:pPr>
      <w:r>
        <w:rPr>
          <w:rFonts w:ascii="宋体" w:eastAsia="宋体" w:hAnsi="宋体" w:cs="宋体" w:hint="eastAsia"/>
          <w:b w:val="0"/>
          <w:bCs/>
          <w:sz w:val="20"/>
          <w:szCs w:val="20"/>
        </w:rPr>
        <w:t>煤矿井下生产具有连续性强、停产检修窗口期短的特点，直接整体更换电控系统会造成矿井停产减产，造成较大的经济损失，因此根据矿井月度检修计划，制定了全流程不停产分步施工优化方案，全程保留原有的继电控制回路作为应急冗余保障。施工前期安排技术人员对每台机电设备原有的控制线路、保护逻辑、启停联锁要求进行全面摸排，绘制新旧控制系统接线对照图，提前做好PLC程序离线编写和仿真测试，避免现场接线错误、程序逻辑冲突等问题。施工阶段采用分柜、分设备逐次改造的方式，先在月度短检修时间内完成PLC主控模块、IO扩展模块、手动/自动切换开关的安装工作，不拆卸原有的继电控制柜元器件和线路。单台设备硬件安装完毕后，先进行空载调试，检验设备的启停、基本保护功能，然后切换到带载试运行，保证运行稳定后开始下一台设备改造。全程设置双控制回路一键切换功能，当PLC控制系统出现通信故障、程序异常等状况时，运维人员可以直接切换到原有的传统控制回路，彻底消除技改施工造成的生产停机风险，保证改造进度和井下安全生产的连续性。</w:t>
      </w:r>
    </w:p>
    <w:p w14:paraId="757E8B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88" w:lineRule="auto"/>
        <w:ind w:left="0"/>
        <w:jc w:val="left"/>
        <w:textAlignment w:val="auto"/>
        <w:outlineLvl w:val="0"/>
        <w:rPr>
          <w:rFonts w:ascii="宋体" w:eastAsia="宋体" w:hAnsi="宋体" w:cs="宋体" w:hint="eastAsia"/>
          <w:b w:val="0"/>
          <w:bCs/>
          <w:sz w:val="20"/>
          <w:szCs w:val="20"/>
        </w:rPr>
      </w:pPr>
      <w:r>
        <w:rPr>
          <w:rFonts w:ascii="宋体" w:eastAsia="宋体" w:hAnsi="宋体" w:cs="宋体" w:hint="eastAsia"/>
          <w:b w:val="0"/>
          <w:bCs/>
          <w:sz w:val="20"/>
          <w:szCs w:val="20"/>
        </w:rPr>
        <w:t>3.2现场通信与信号抗干扰优化</w:t>
      </w:r>
    </w:p>
    <w:p w14:paraId="4815F4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88" w:lineRule="auto"/>
        <w:ind w:left="0" w:firstLine="400" w:firstLineChars="200"/>
        <w:jc w:val="left"/>
        <w:textAlignment w:val="auto"/>
        <w:outlineLvl w:val="0"/>
        <w:rPr>
          <w:rFonts w:ascii="宋体" w:eastAsia="宋体" w:hAnsi="宋体" w:cs="宋体" w:hint="eastAsia"/>
          <w:b w:val="0"/>
          <w:bCs/>
          <w:sz w:val="20"/>
          <w:szCs w:val="20"/>
        </w:rPr>
      </w:pPr>
      <w:r>
        <w:rPr>
          <w:rFonts w:ascii="宋体" w:eastAsia="宋体" w:hAnsi="宋体" w:cs="宋体" w:hint="eastAsia"/>
          <w:b w:val="0"/>
          <w:bCs/>
          <w:sz w:val="20"/>
          <w:szCs w:val="20"/>
        </w:rPr>
        <w:t>井下高振动、高湿度、强电磁干扰的恶劣工况，很容易造成PLC模拟量监测信号漂移、数字量控制指令误触发、总线通信中断等故障，从而影响到机电设备的安全运行，所以从硬件布线、电路防护、网络架构三个方面进行抗干扰专项优化。布线方面，把动力电缆和信号电缆分开敷设，大功率电机动力线缆和传感器信号线缆分层布线，所有通信线路全部使用屏蔽双绞线，线缆屏蔽层按照单端接地标准进行接地，防止接地环路引起信号干扰。电路防护上，在PLC输入输出端口加装光电隔离模块和浪涌保护器，阻断井下高压脉冲干扰进入控制器内部电路，控制柜内部加装散热除湿装置，防止潮湿水汽造成电路板短路、线路氧化。网络通信上使用Profibus工业总线搭建井下分站通信网络，在增加中继放大器保证长距离通信稳定的同时，限制网络内多余的节点接入，减小网络信号拥堵。经过优化之后，系统信号漂移问题完全消除，通信丢包率为0，保证PLC控制指令准确传送到各个地方。</w:t>
      </w:r>
    </w:p>
    <w:p w14:paraId="6135DC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88" w:lineRule="auto"/>
        <w:ind w:left="0"/>
        <w:jc w:val="left"/>
        <w:textAlignment w:val="auto"/>
        <w:outlineLvl w:val="0"/>
        <w:rPr>
          <w:rFonts w:ascii="宋体" w:eastAsia="宋体" w:hAnsi="宋体" w:cs="宋体" w:hint="eastAsia"/>
          <w:b w:val="0"/>
          <w:bCs/>
          <w:sz w:val="20"/>
          <w:szCs w:val="20"/>
        </w:rPr>
      </w:pPr>
      <w:r>
        <w:rPr>
          <w:rFonts w:ascii="宋体" w:eastAsia="宋体" w:hAnsi="宋体" w:cs="宋体" w:hint="eastAsia"/>
          <w:b w:val="0"/>
          <w:bCs/>
          <w:sz w:val="20"/>
          <w:szCs w:val="20"/>
        </w:rPr>
        <w:t>3.3现场运维体系与程序二次优化</w:t>
      </w:r>
    </w:p>
    <w:p w14:paraId="1AD4CD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88" w:lineRule="auto"/>
        <w:ind w:left="0" w:firstLine="400" w:firstLineChars="200"/>
        <w:jc w:val="left"/>
        <w:textAlignment w:val="auto"/>
        <w:outlineLvl w:val="0"/>
        <w:rPr>
          <w:rFonts w:ascii="宋体" w:eastAsia="宋体" w:hAnsi="宋体" w:cs="宋体" w:hint="eastAsia"/>
          <w:b w:val="0"/>
          <w:bCs/>
          <w:sz w:val="20"/>
          <w:szCs w:val="20"/>
        </w:rPr>
      </w:pPr>
      <w:r>
        <w:rPr>
          <w:rFonts w:ascii="宋体" w:eastAsia="宋体" w:hAnsi="宋体" w:cs="宋体" w:hint="eastAsia"/>
          <w:b w:val="0"/>
          <w:bCs/>
          <w:sz w:val="20"/>
          <w:szCs w:val="20"/>
        </w:rPr>
        <w:t>根据煤矿一线机电维保人员专业水平低、现场故障应急处置需求高的特点，针对PLC控制程序进行二次优化，并且创建适合矿井现场的简易运维体系。程序优化上，在原有的基础上增加了故障实时记忆、历史运行数据追溯、参数在线无扰动修改等功能，系统可以自动记录故障发生的时间、故障类型和故障点位，方便运维人员快速找到问题；简化冗余控制程序，删除复杂的运算子程序，提高PLC扫描响应速度，优化设备联动闭锁逻辑，提高系统安全防护能力。运维体系上重新设计地面监控上位机界面，只保留自动运行、手动干预、故障复位三个主要的操作按钮，弱化专业参数设置界面，降低操作门槛。另外进行专项实操培训，就日常巡检要点、模式切换操作、常见故障排查和应急处理等进行教学，编写图文版现场运维手册。另外建立定期巡检校准制度，每周检查模块接线情况，每月校准现场传感器，从程序和运维两个方面保证系统长期稳定运行。</w:t>
      </w:r>
    </w:p>
    <w:p w14:paraId="7FBFC7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88" w:lineRule="auto"/>
        <w:ind w:left="0"/>
        <w:jc w:val="left"/>
        <w:textAlignment w:val="auto"/>
        <w:outlineLvl w:val="0"/>
        <w:rPr>
          <w:rFonts w:ascii="宋体" w:eastAsia="宋体" w:hAnsi="宋体" w:cs="宋体" w:hint="eastAsia"/>
          <w:b w:val="0"/>
          <w:bCs/>
          <w:sz w:val="20"/>
          <w:szCs w:val="20"/>
        </w:rPr>
      </w:pPr>
      <w:r>
        <w:rPr>
          <w:rFonts w:ascii="宋体" w:eastAsia="宋体" w:hAnsi="宋体" w:cs="宋体" w:hint="eastAsia"/>
          <w:b w:val="0"/>
          <w:bCs/>
          <w:sz w:val="20"/>
          <w:szCs w:val="20"/>
        </w:rPr>
        <w:t>4现场应用实测数据与效果分析</w:t>
      </w:r>
      <w:bookmarkEnd w:id="12"/>
    </w:p>
    <w:p w14:paraId="0934E0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88" w:lineRule="auto"/>
        <w:ind w:left="0" w:firstLine="400" w:firstLineChars="200"/>
        <w:jc w:val="left"/>
        <w:textAlignment w:val="auto"/>
        <w:rPr>
          <w:rFonts w:ascii="宋体" w:eastAsia="宋体" w:hAnsi="宋体" w:cs="宋体" w:hint="eastAsia"/>
          <w:b w:val="0"/>
          <w:bCs/>
          <w:sz w:val="20"/>
          <w:szCs w:val="20"/>
        </w:rPr>
      </w:pPr>
      <w:r>
        <w:rPr>
          <w:rFonts w:ascii="宋体" w:eastAsia="宋体" w:hAnsi="宋体" w:cs="宋体" w:hint="eastAsia"/>
          <w:b w:val="0"/>
          <w:bCs/>
          <w:sz w:val="20"/>
          <w:szCs w:val="20"/>
        </w:rPr>
        <w:t>本次PLC智能管控系统在流舍煤矿连续试运行6个月，用改造前后同期运行数据进行对比分析，主要运行指标如表1所示。</w:t>
      </w:r>
    </w:p>
    <w:tbl>
      <w:tblPr>
        <w:tblStyle w:val="TableNormal"/>
        <w:tblW w:w="8521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top w:w="0" w:type="dxa"/>
          <w:left w:w="10" w:type="dxa"/>
          <w:bottom w:w="0" w:type="dxa"/>
          <w:right w:w="10" w:type="dxa"/>
        </w:tblCellMar>
      </w:tblPr>
      <w:tblGrid>
        <w:gridCol w:w="2143"/>
        <w:gridCol w:w="2145"/>
        <w:gridCol w:w="2718"/>
        <w:gridCol w:w="1515"/>
      </w:tblGrid>
      <w:tr w14:paraId="60863DB6">
        <w:tblPrEx>
          <w:tblW w:w="8521" w:type="dxa"/>
          <w:jc w:val="center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auto" w:val="0"/>
          <w:tblHeader/>
          <w:jc w:val="center"/>
        </w:trPr>
        <w:tc>
          <w:tcPr>
            <w:tcW w:w="2144" w:type="dxa"/>
            <w:tcBorders>
              <w:top w:val="single" w:sz="12" w:space="0" w:color="auto"/>
              <w:left w:val="nil"/>
              <w:bottom w:val="nil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4260B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/>
              <w:jc w:val="left"/>
              <w:textAlignment w:val="auto"/>
              <w:rPr>
                <w:rFonts w:ascii="宋体" w:eastAsia="宋体" w:hAnsi="宋体" w:cs="宋体" w:hint="eastAsia"/>
                <w:b w:val="0"/>
                <w:bCs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 w:val="0"/>
                <w:bCs/>
                <w:sz w:val="20"/>
                <w:szCs w:val="20"/>
              </w:rPr>
              <w:t>测试指标</w:t>
            </w:r>
          </w:p>
        </w:tc>
        <w:tc>
          <w:tcPr>
            <w:tcW w:w="2145" w:type="dxa"/>
            <w:tcBorders>
              <w:top w:val="single" w:sz="12" w:space="0" w:color="auto"/>
              <w:left w:val="nil"/>
              <w:bottom w:val="nil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BB2F6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/>
              <w:jc w:val="left"/>
              <w:textAlignment w:val="auto"/>
              <w:rPr>
                <w:rFonts w:ascii="宋体" w:eastAsia="宋体" w:hAnsi="宋体" w:cs="宋体" w:hint="eastAsia"/>
                <w:b w:val="0"/>
                <w:bCs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 w:val="0"/>
                <w:bCs/>
                <w:sz w:val="20"/>
                <w:szCs w:val="20"/>
              </w:rPr>
              <w:t>改造前继电控制系统</w:t>
            </w:r>
          </w:p>
        </w:tc>
        <w:tc>
          <w:tcPr>
            <w:tcW w:w="2718" w:type="dxa"/>
            <w:tcBorders>
              <w:top w:val="single" w:sz="12" w:space="0" w:color="auto"/>
              <w:left w:val="nil"/>
              <w:bottom w:val="nil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2EBFB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/>
              <w:jc w:val="left"/>
              <w:textAlignment w:val="auto"/>
              <w:rPr>
                <w:rFonts w:ascii="宋体" w:eastAsia="宋体" w:hAnsi="宋体" w:cs="宋体" w:hint="eastAsia"/>
                <w:b w:val="0"/>
                <w:bCs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 w:val="0"/>
                <w:bCs/>
                <w:sz w:val="20"/>
                <w:szCs w:val="20"/>
              </w:rPr>
              <w:t>改造后PLC智能管控系统</w:t>
            </w:r>
          </w:p>
        </w:tc>
        <w:tc>
          <w:tcPr>
            <w:tcW w:w="1515" w:type="dxa"/>
            <w:tcBorders>
              <w:top w:val="single" w:sz="12" w:space="0" w:color="auto"/>
              <w:left w:val="nil"/>
              <w:bottom w:val="nil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EB22E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/>
              <w:jc w:val="left"/>
              <w:textAlignment w:val="auto"/>
              <w:rPr>
                <w:rFonts w:ascii="宋体" w:eastAsia="宋体" w:hAnsi="宋体" w:cs="宋体" w:hint="eastAsia"/>
                <w:b w:val="0"/>
                <w:bCs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 w:val="0"/>
                <w:bCs/>
                <w:sz w:val="20"/>
                <w:szCs w:val="20"/>
              </w:rPr>
              <w:t>优化幅度</w:t>
            </w:r>
          </w:p>
        </w:tc>
      </w:tr>
      <w:tr w14:paraId="3258AF23">
        <w:tblPrEx>
          <w:tblW w:w="8521" w:type="dxa"/>
          <w:jc w:val="center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auto" w:val="0"/>
          <w:tblHeader/>
          <w:jc w:val="center"/>
        </w:trPr>
        <w:tc>
          <w:tcPr>
            <w:tcW w:w="2144" w:type="dxa"/>
            <w:tcBorders>
              <w:top w:val="single" w:sz="4" w:space="0" w:color="auto"/>
              <w:left w:val="nil"/>
              <w:bottom w:val="nil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67D30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/>
              <w:jc w:val="left"/>
              <w:textAlignment w:val="auto"/>
              <w:rPr>
                <w:rFonts w:ascii="宋体" w:eastAsia="宋体" w:hAnsi="宋体" w:cs="宋体" w:hint="eastAsia"/>
                <w:b w:val="0"/>
                <w:bCs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 w:val="0"/>
                <w:bCs/>
                <w:sz w:val="20"/>
                <w:szCs w:val="20"/>
              </w:rPr>
              <w:t>设备平均月故障次数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nil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57950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/>
              <w:jc w:val="left"/>
              <w:textAlignment w:val="auto"/>
              <w:rPr>
                <w:rFonts w:ascii="宋体" w:eastAsia="宋体" w:hAnsi="宋体" w:cs="宋体" w:hint="eastAsia"/>
                <w:b w:val="0"/>
                <w:bCs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 w:val="0"/>
                <w:bCs/>
                <w:sz w:val="20"/>
                <w:szCs w:val="20"/>
              </w:rPr>
              <w:t>14.2次</w:t>
            </w:r>
          </w:p>
        </w:tc>
        <w:tc>
          <w:tcPr>
            <w:tcW w:w="2718" w:type="dxa"/>
            <w:tcBorders>
              <w:top w:val="single" w:sz="4" w:space="0" w:color="auto"/>
              <w:left w:val="nil"/>
              <w:bottom w:val="nil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359D1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/>
              <w:jc w:val="left"/>
              <w:textAlignment w:val="auto"/>
              <w:rPr>
                <w:rFonts w:ascii="宋体" w:eastAsia="宋体" w:hAnsi="宋体" w:cs="宋体" w:hint="eastAsia"/>
                <w:b w:val="0"/>
                <w:bCs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 w:val="0"/>
                <w:bCs/>
                <w:sz w:val="20"/>
                <w:szCs w:val="20"/>
              </w:rPr>
              <w:t>5.3次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435F5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/>
              <w:jc w:val="left"/>
              <w:textAlignment w:val="auto"/>
              <w:rPr>
                <w:rFonts w:ascii="宋体" w:eastAsia="宋体" w:hAnsi="宋体" w:cs="宋体" w:hint="eastAsia"/>
                <w:b w:val="0"/>
                <w:bCs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 w:val="0"/>
                <w:bCs/>
                <w:sz w:val="20"/>
                <w:szCs w:val="20"/>
              </w:rPr>
              <w:t>下降62.3%</w:t>
            </w:r>
          </w:p>
        </w:tc>
      </w:tr>
      <w:tr w14:paraId="069454BB">
        <w:tblPrEx>
          <w:tblW w:w="8521" w:type="dxa"/>
          <w:jc w:val="center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auto" w:val="0"/>
          <w:tblHeader/>
          <w:jc w:val="center"/>
        </w:trPr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E03A6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/>
              <w:jc w:val="left"/>
              <w:textAlignment w:val="auto"/>
              <w:rPr>
                <w:rFonts w:ascii="宋体" w:eastAsia="宋体" w:hAnsi="宋体" w:cs="宋体" w:hint="eastAsia"/>
                <w:b w:val="0"/>
                <w:bCs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 w:val="0"/>
                <w:bCs/>
                <w:sz w:val="20"/>
                <w:szCs w:val="20"/>
              </w:rPr>
              <w:t>系统综合能耗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EB71A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/>
              <w:jc w:val="left"/>
              <w:textAlignment w:val="auto"/>
              <w:rPr>
                <w:rFonts w:ascii="宋体" w:eastAsia="宋体" w:hAnsi="宋体" w:cs="宋体" w:hint="eastAsia"/>
                <w:b w:val="0"/>
                <w:bCs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 w:val="0"/>
                <w:bCs/>
                <w:sz w:val="20"/>
                <w:szCs w:val="20"/>
              </w:rPr>
              <w:t>基准值100%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0C4F5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/>
              <w:jc w:val="left"/>
              <w:textAlignment w:val="auto"/>
              <w:rPr>
                <w:rFonts w:ascii="宋体" w:eastAsia="宋体" w:hAnsi="宋体" w:cs="宋体" w:hint="eastAsia"/>
                <w:b w:val="0"/>
                <w:bCs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 w:val="0"/>
                <w:bCs/>
                <w:sz w:val="20"/>
                <w:szCs w:val="20"/>
              </w:rPr>
              <w:t>72.4%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0D598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/>
              <w:jc w:val="left"/>
              <w:textAlignment w:val="auto"/>
              <w:rPr>
                <w:rFonts w:ascii="宋体" w:eastAsia="宋体" w:hAnsi="宋体" w:cs="宋体" w:hint="eastAsia"/>
                <w:b w:val="0"/>
                <w:bCs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 w:val="0"/>
                <w:bCs/>
                <w:sz w:val="20"/>
                <w:szCs w:val="20"/>
              </w:rPr>
              <w:t>降低27.6%</w:t>
            </w:r>
          </w:p>
        </w:tc>
      </w:tr>
      <w:tr w14:paraId="2C1D26DF">
        <w:tblPrEx>
          <w:tblW w:w="8521" w:type="dxa"/>
          <w:jc w:val="center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auto" w:val="0"/>
          <w:tblHeader/>
          <w:jc w:val="center"/>
        </w:trPr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6C76A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/>
              <w:jc w:val="left"/>
              <w:textAlignment w:val="auto"/>
              <w:rPr>
                <w:rFonts w:ascii="宋体" w:eastAsia="宋体" w:hAnsi="宋体" w:cs="宋体" w:hint="eastAsia"/>
                <w:b w:val="0"/>
                <w:bCs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 w:val="0"/>
                <w:bCs/>
                <w:sz w:val="20"/>
                <w:szCs w:val="20"/>
              </w:rPr>
              <w:t>控制响应时间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3EC37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/>
              <w:jc w:val="left"/>
              <w:textAlignment w:val="auto"/>
              <w:rPr>
                <w:rFonts w:ascii="宋体" w:eastAsia="宋体" w:hAnsi="宋体" w:cs="宋体" w:hint="eastAsia"/>
                <w:b w:val="0"/>
                <w:bCs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 w:val="0"/>
                <w:bCs/>
                <w:sz w:val="20"/>
                <w:szCs w:val="20"/>
              </w:rPr>
              <w:t>35~60ms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BD913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/>
              <w:jc w:val="left"/>
              <w:textAlignment w:val="auto"/>
              <w:rPr>
                <w:rFonts w:ascii="宋体" w:eastAsia="宋体" w:hAnsi="宋体" w:cs="宋体" w:hint="eastAsia"/>
                <w:b w:val="0"/>
                <w:bCs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 w:val="0"/>
                <w:bCs/>
                <w:sz w:val="20"/>
                <w:szCs w:val="20"/>
              </w:rPr>
              <w:t>≤5ms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8EA93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/>
              <w:jc w:val="left"/>
              <w:textAlignment w:val="auto"/>
              <w:rPr>
                <w:rFonts w:ascii="宋体" w:eastAsia="宋体" w:hAnsi="宋体" w:cs="宋体" w:hint="eastAsia"/>
                <w:b w:val="0"/>
                <w:bCs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 w:val="0"/>
                <w:bCs/>
                <w:sz w:val="20"/>
                <w:szCs w:val="20"/>
              </w:rPr>
              <w:t>响应大幅提升</w:t>
            </w:r>
          </w:p>
        </w:tc>
      </w:tr>
      <w:tr w14:paraId="569782C1">
        <w:tblPrEx>
          <w:tblW w:w="8521" w:type="dxa"/>
          <w:jc w:val="center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auto" w:val="0"/>
          <w:tblHeader/>
          <w:jc w:val="center"/>
        </w:trPr>
        <w:tc>
          <w:tcPr>
            <w:tcW w:w="2144" w:type="dxa"/>
            <w:tcBorders>
              <w:top w:val="nil"/>
              <w:left w:val="nil"/>
              <w:bottom w:val="single" w:sz="12" w:space="0" w:color="auto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201BF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/>
              <w:jc w:val="left"/>
              <w:textAlignment w:val="auto"/>
              <w:rPr>
                <w:rFonts w:ascii="宋体" w:eastAsia="宋体" w:hAnsi="宋体" w:cs="宋体" w:hint="eastAsia"/>
                <w:b w:val="0"/>
                <w:bCs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 w:val="0"/>
                <w:bCs/>
                <w:sz w:val="20"/>
                <w:szCs w:val="20"/>
              </w:rPr>
              <w:t>年均人工运维成本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12" w:space="0" w:color="auto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ACDF8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/>
              <w:jc w:val="left"/>
              <w:textAlignment w:val="auto"/>
              <w:rPr>
                <w:rFonts w:ascii="宋体" w:eastAsia="宋体" w:hAnsi="宋体" w:cs="宋体" w:hint="eastAsia"/>
                <w:b w:val="0"/>
                <w:bCs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 w:val="0"/>
                <w:bCs/>
                <w:sz w:val="20"/>
                <w:szCs w:val="20"/>
              </w:rPr>
              <w:t>较高，多岗位值守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12" w:space="0" w:color="auto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C9A10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/>
              <w:jc w:val="left"/>
              <w:textAlignment w:val="auto"/>
              <w:rPr>
                <w:rFonts w:ascii="宋体" w:eastAsia="宋体" w:hAnsi="宋体" w:cs="宋体" w:hint="eastAsia"/>
                <w:b w:val="0"/>
                <w:bCs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 w:val="0"/>
                <w:bCs/>
                <w:sz w:val="20"/>
                <w:szCs w:val="20"/>
              </w:rPr>
              <w:t>降低48.2%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12" w:space="0" w:color="auto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0416F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/>
              <w:jc w:val="left"/>
              <w:textAlignment w:val="auto"/>
              <w:rPr>
                <w:rFonts w:ascii="宋体" w:eastAsia="宋体" w:hAnsi="宋体" w:cs="宋体" w:hint="eastAsia"/>
                <w:b w:val="0"/>
                <w:bCs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 w:val="0"/>
                <w:bCs/>
                <w:sz w:val="20"/>
                <w:szCs w:val="20"/>
              </w:rPr>
              <w:t>减人增效显著</w:t>
            </w:r>
          </w:p>
        </w:tc>
      </w:tr>
    </w:tbl>
    <w:p w14:paraId="3835AC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88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/>
          <w:sz w:val="20"/>
          <w:szCs w:val="20"/>
        </w:rPr>
      </w:pPr>
      <w:r>
        <w:rPr>
          <w:rFonts w:ascii="宋体" w:eastAsia="宋体" w:hAnsi="宋体" w:cs="宋体" w:hint="eastAsia"/>
          <w:b w:val="0"/>
          <w:bCs/>
          <w:sz w:val="20"/>
          <w:szCs w:val="20"/>
        </w:rPr>
        <w:t>根据实测数据可以得知，PLC智能管控技术在煤矿井下机电设备中得到应用之后，矿井机电设备的安全性、节能性、自动化水平都得到了极大的提高。一方面依靠完善的故障自诊断和联锁保护功能，可以有效地避免坠罐、瓦斯积聚、淹井、皮带火灾等井下重大安全风险的发生；另一方面依靠变频调速、按需供风、分段启停节能逻辑，使机电系统整体节能降耗，减少井下现场值守人员数量，符合煤矿减人增安、绿色低碳发展的要求。</w:t>
      </w:r>
    </w:p>
    <w:p w14:paraId="6487A1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88" w:lineRule="auto"/>
        <w:ind w:left="0" w:firstLine="400" w:firstLineChars="200"/>
        <w:jc w:val="left"/>
        <w:textAlignment w:val="auto"/>
        <w:outlineLvl w:val="0"/>
        <w:rPr>
          <w:rFonts w:ascii="宋体" w:eastAsia="宋体" w:hAnsi="宋体" w:cs="宋体" w:hint="eastAsia"/>
          <w:b w:val="0"/>
          <w:bCs/>
          <w:sz w:val="20"/>
          <w:szCs w:val="20"/>
        </w:rPr>
      </w:pPr>
      <w:bookmarkStart w:id="13" w:name="heading_16"/>
      <w:r>
        <w:rPr>
          <w:rFonts w:ascii="宋体" w:eastAsia="宋体" w:hAnsi="宋体" w:cs="宋体" w:hint="eastAsia"/>
          <w:b w:val="0"/>
          <w:bCs/>
          <w:sz w:val="20"/>
          <w:szCs w:val="20"/>
        </w:rPr>
        <w:t>结语</w:t>
      </w:r>
      <w:bookmarkEnd w:id="13"/>
    </w:p>
    <w:p w14:paraId="0E9B86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88" w:lineRule="auto"/>
        <w:ind w:left="0" w:firstLine="400" w:firstLineChars="200"/>
        <w:jc w:val="left"/>
        <w:textAlignment w:val="auto"/>
        <w:rPr>
          <w:rFonts w:ascii="宋体" w:eastAsia="宋体" w:hAnsi="宋体" w:cs="宋体" w:hint="eastAsia"/>
          <w:b w:val="0"/>
          <w:bCs/>
          <w:sz w:val="20"/>
          <w:szCs w:val="20"/>
        </w:rPr>
      </w:pPr>
      <w:r>
        <w:rPr>
          <w:rFonts w:ascii="宋体" w:eastAsia="宋体" w:hAnsi="宋体" w:cs="宋体" w:hint="eastAsia"/>
          <w:b w:val="0"/>
          <w:bCs/>
          <w:sz w:val="20"/>
          <w:szCs w:val="20"/>
        </w:rPr>
        <w:t>本文根据中小型煤矿井下恶劣工况和不停产技改要求，对井下提升、通风、排水、运输四大核心机电装备PLC智能管控系统进行了方案设计、分步施工和现场实测验证。采用双系统冗余备用结构、紧急中断程序改善、抗干扰通信改造、分设备专用联动逻辑设计来解决传统电控系统故障率高、能耗大、响应慢、自动化程度低等现场问题。工程实践表明，本套PLC落地方案施工风险小、改造成本低、运行稳定，完全满足老旧矿井机电设备智能化改造要求。后续可以结合物联网、人工智能等技术不断改进控制算法，提高井下机电设备各个方面的智能控制能力。</w:t>
      </w:r>
    </w:p>
    <w:p w14:paraId="7C7279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88" w:lineRule="auto"/>
        <w:jc w:val="left"/>
        <w:textAlignment w:val="auto"/>
        <w:rPr>
          <w:rFonts w:ascii="宋体" w:eastAsia="宋体" w:hAnsi="宋体" w:cs="宋体" w:hint="eastAsia"/>
          <w:b w:val="0"/>
          <w:bCs/>
          <w:sz w:val="20"/>
          <w:szCs w:val="20"/>
          <w:lang w:eastAsia="zh-CN"/>
        </w:rPr>
      </w:pPr>
      <w:r>
        <w:rPr>
          <w:rFonts w:ascii="宋体" w:eastAsia="宋体" w:hAnsi="宋体" w:cs="宋体" w:hint="eastAsia"/>
          <w:b w:val="0"/>
          <w:bCs/>
          <w:sz w:val="20"/>
          <w:szCs w:val="20"/>
        </w:rPr>
        <w:t>参考文献</w:t>
      </w:r>
      <w:r>
        <w:rPr>
          <w:rFonts w:ascii="宋体" w:eastAsia="宋体" w:hAnsi="宋体" w:cs="宋体" w:hint="eastAsia"/>
          <w:b w:val="0"/>
          <w:bCs/>
          <w:sz w:val="20"/>
          <w:szCs w:val="20"/>
          <w:lang w:eastAsia="zh-CN"/>
        </w:rPr>
        <w:t>：</w:t>
      </w:r>
    </w:p>
    <w:p w14:paraId="079948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88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/>
          <w:sz w:val="20"/>
          <w:szCs w:val="20"/>
        </w:rPr>
      </w:pPr>
      <w:r>
        <w:rPr>
          <w:rFonts w:ascii="宋体" w:eastAsia="宋体" w:hAnsi="宋体" w:cs="宋体" w:hint="eastAsia"/>
          <w:b w:val="0"/>
          <w:bCs/>
          <w:sz w:val="20"/>
          <w:szCs w:val="20"/>
        </w:rPr>
        <w:t>[1]高小明.自动化技术在矿山机电控制中的应用研究[J].凿岩机械气动工具,2025,51(05):159-161.</w:t>
      </w:r>
    </w:p>
    <w:p w14:paraId="491078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88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/>
          <w:sz w:val="20"/>
          <w:szCs w:val="20"/>
        </w:rPr>
      </w:pPr>
      <w:r>
        <w:rPr>
          <w:rFonts w:ascii="宋体" w:eastAsia="宋体" w:hAnsi="宋体" w:cs="宋体" w:hint="eastAsia"/>
          <w:b w:val="0"/>
          <w:bCs/>
          <w:sz w:val="20"/>
          <w:szCs w:val="20"/>
        </w:rPr>
        <w:t>[2]赵晨旭.PLC技术在矿山机电控制中的应用探讨[J].中国金属通报,2024,(10):101-103.</w:t>
      </w:r>
    </w:p>
    <w:p w14:paraId="7ECBA0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88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/>
          <w:sz w:val="20"/>
          <w:szCs w:val="20"/>
        </w:rPr>
      </w:pPr>
      <w:r>
        <w:rPr>
          <w:rFonts w:ascii="宋体" w:eastAsia="宋体" w:hAnsi="宋体" w:cs="宋体" w:hint="eastAsia"/>
          <w:b w:val="0"/>
          <w:bCs/>
          <w:sz w:val="20"/>
          <w:szCs w:val="20"/>
        </w:rPr>
        <w:t>[3]夏文福.自动化技术在矿山机电控制中的实际应用研究[J].世界有色金属,2024,(12):58-60.</w:t>
      </w:r>
    </w:p>
    <w:p w14:paraId="67B356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88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/>
          <w:sz w:val="20"/>
          <w:szCs w:val="20"/>
        </w:rPr>
      </w:pPr>
      <w:r>
        <w:rPr>
          <w:rFonts w:ascii="宋体" w:eastAsia="宋体" w:hAnsi="宋体" w:cs="宋体" w:hint="eastAsia"/>
          <w:b w:val="0"/>
          <w:bCs/>
          <w:sz w:val="20"/>
          <w:szCs w:val="20"/>
        </w:rPr>
        <w:t>[4]于洪江.矿山机电设备控制中PLC技术的应用研究[J].中国金属通报,2024,(04):119-121.</w:t>
      </w:r>
    </w:p>
    <w:p w14:paraId="3A46C6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88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/>
          <w:sz w:val="20"/>
          <w:szCs w:val="20"/>
        </w:rPr>
      </w:pPr>
      <w:r>
        <w:rPr>
          <w:rFonts w:ascii="宋体" w:eastAsia="宋体" w:hAnsi="宋体" w:cs="宋体" w:hint="eastAsia"/>
          <w:b w:val="0"/>
          <w:bCs/>
          <w:sz w:val="20"/>
          <w:szCs w:val="20"/>
        </w:rPr>
        <w:t>[5]卞泽宇,乔芳.自动化技术在矿山机电控制中的实际应用研究[J].机械管理开发,2023,38(11):264-265,268.</w:t>
      </w:r>
    </w:p>
    <w:p w14:paraId="001511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88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/>
          <w:sz w:val="20"/>
          <w:szCs w:val="20"/>
        </w:rPr>
      </w:pPr>
      <w:r>
        <w:rPr>
          <w:rFonts w:ascii="宋体" w:eastAsia="宋体" w:hAnsi="宋体" w:cs="宋体" w:hint="eastAsia"/>
          <w:b w:val="0"/>
          <w:bCs/>
          <w:sz w:val="20"/>
          <w:szCs w:val="20"/>
        </w:rPr>
        <w:t>作者简介：袁伟民（1986—），男，汉族，江西丰城人，大专学历，研究方向为矿山机电，职称：助理工程师。</w:t>
      </w:r>
    </w:p>
    <w:sectPr>
      <w:headerReference w:type="default" r:id="rId4"/>
      <w:footerReference w:type="default" r:id="rId5"/>
      <w:pgSz w:w="11905" w:h="16840"/>
      <w:pgMar w:header="720" w:footer="720"/>
      <w:cols w:num="1"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34ABCAEC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3C8DF54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2EEF8876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sz w:val="21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Pages>4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微信用户</cp:lastModifiedBy>
  <cp:revision>0</cp:revision>
  <dcterms:created xsi:type="dcterms:W3CDTF">2026-06-17T15:59:00Z</dcterms:created>
  <dcterms:modified xsi:type="dcterms:W3CDTF">2026-06-17T16:05:20Z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{"Label":"1","ContentProducer":"001191110102MACQD9K64010000","ProduceID":"7652271029218069718","ReservedCode1":"","ContentPropagator":"","PropagateID":"","ReservedCode2":""}</vt:lpwstr>
  </property>
  <property fmtid="{D5CDD505-2E9C-101B-9397-08002B2CF9AE}" pid="3" name="ICV">
    <vt:lpwstr>575FAE44C319FD694055326ABFB91DDA_42</vt:lpwstr>
  </property>
  <property fmtid="{D5CDD505-2E9C-101B-9397-08002B2CF9AE}" pid="4" name="KSOProductBuildVer">
    <vt:lpwstr>2052-12.1.25869.25869</vt:lpwstr>
  </property>
</Properties>
</file>